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宋体" w:hAnsi="宋体" w:eastAsia="宋体" w:cs="宋体"/>
          <w:b/>
          <w:i/>
          <w:color w:val="auto"/>
          <w:sz w:val="21"/>
          <w:szCs w:val="21"/>
          <w:highlight w:val="none"/>
        </w:rPr>
      </w:pPr>
      <w:r/>
      <w:bookmarkStart w:id="0" w:name="_Hlk192713327"/>
      <w:r>
        <w:rPr>
          <w:rFonts w:hint="eastAsia" w:ascii="宋体" w:hAnsi="宋体" w:eastAsia="宋体" w:cs="宋体"/>
          <w:b/>
          <w:color w:val="auto"/>
          <w:sz w:val="72"/>
          <w:highlight w:val="none"/>
        </w:rPr>
        <w:tab/>
      </w:r>
      <w:r/>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jc w:val="center"/>
        <w:spacing w:line="360" w:lineRule="auto"/>
        <w:rPr>
          <w:rFonts w:hint="eastAsia" w:ascii="宋体" w:hAnsi="宋体" w:eastAsia="宋体" w:cs="宋体"/>
          <w:b/>
          <w:bCs w:val="0"/>
          <w:color w:val="auto"/>
          <w:spacing w:val="20"/>
          <w:sz w:val="72"/>
          <w:szCs w:val="72"/>
          <w:highlight w:val="none"/>
        </w:rPr>
      </w:pPr>
      <w:r/>
      <w:bookmarkStart w:id="1" w:name="_Hlk192713293"/>
      <w:r>
        <w:rPr>
          <w:rFonts w:hint="eastAsia" w:ascii="宋体" w:hAnsi="宋体" w:eastAsia="宋体" w:cs="宋体"/>
          <w:b/>
          <w:bCs w:val="0"/>
          <w:color w:val="auto"/>
          <w:spacing w:val="20"/>
          <w:sz w:val="72"/>
          <w:szCs w:val="72"/>
          <w:highlight w:val="none"/>
        </w:rPr>
        <w:t xml:space="preserve">泰州市政府采购</w:t>
      </w:r>
      <w:r/>
    </w:p>
    <w:p>
      <w:pPr>
        <w:jc w:val="center"/>
        <w:spacing w:line="360" w:lineRule="auto"/>
        <w:rPr>
          <w:rFonts w:hint="eastAsia" w:ascii="宋体" w:hAnsi="宋体" w:eastAsia="宋体" w:cs="宋体"/>
          <w:b/>
          <w:bCs w:val="0"/>
          <w:color w:val="auto"/>
          <w:spacing w:val="20"/>
          <w:sz w:val="52"/>
          <w:szCs w:val="52"/>
          <w:highlight w:val="none"/>
        </w:rPr>
      </w:pPr>
      <w:r>
        <w:rPr>
          <w:rFonts w:hint="eastAsia" w:ascii="宋体" w:hAnsi="宋体" w:eastAsia="宋体" w:cs="宋体"/>
          <w:b/>
          <w:bCs w:val="0"/>
          <w:color w:val="auto"/>
          <w:spacing w:val="20"/>
          <w:sz w:val="52"/>
          <w:szCs w:val="52"/>
          <w:highlight w:val="none"/>
          <w:lang w:val="en-US" w:eastAsia="zh-CN"/>
        </w:rPr>
        <w:t xml:space="preserve"> </w:t>
      </w:r>
      <w:r>
        <w:rPr>
          <w:rFonts w:hint="eastAsia" w:ascii="宋体" w:hAnsi="宋体" w:eastAsia="宋体" w:cs="宋体"/>
          <w:b/>
          <w:bCs w:val="0"/>
          <w:color w:val="auto"/>
          <w:spacing w:val="20"/>
          <w:sz w:val="52"/>
          <w:szCs w:val="52"/>
          <w:highlight w:val="none"/>
        </w:rPr>
        <w:t xml:space="preserve">公开</w:t>
      </w:r>
      <w:bookmarkEnd w:id="1"/>
      <w:r/>
      <w:r/>
    </w:p>
    <w:p>
      <w:pPr>
        <w:jc w:val="center"/>
        <w:spacing w:line="360" w:lineRule="auto"/>
        <w:rPr>
          <w:rFonts w:hint="eastAsia" w:ascii="宋体" w:hAnsi="宋体" w:eastAsia="宋体" w:cs="宋体"/>
          <w:b/>
          <w:bCs w:val="0"/>
          <w:color w:val="auto"/>
          <w:spacing w:val="20"/>
          <w:sz w:val="52"/>
          <w:szCs w:val="52"/>
          <w:highlight w:val="none"/>
        </w:rPr>
      </w:pPr>
      <w:r>
        <w:rPr>
          <w:rFonts w:hint="eastAsia" w:ascii="宋体" w:hAnsi="宋体" w:eastAsia="宋体" w:cs="宋体"/>
          <w:b/>
          <w:bCs w:val="0"/>
          <w:color w:val="auto"/>
          <w:spacing w:val="20"/>
          <w:sz w:val="52"/>
          <w:szCs w:val="52"/>
          <w:highlight w:val="none"/>
        </w:rPr>
      </w:r>
      <w:r/>
    </w:p>
    <w:p>
      <w:pPr>
        <w:jc w:val="center"/>
        <w:spacing w:line="360" w:lineRule="auto"/>
        <w:rPr>
          <w:rFonts w:hint="eastAsia" w:ascii="宋体" w:hAnsi="宋体" w:eastAsia="宋体" w:cs="宋体"/>
          <w:b/>
          <w:bCs w:val="0"/>
          <w:color w:val="auto"/>
          <w:spacing w:val="20"/>
          <w:sz w:val="52"/>
          <w:szCs w:val="52"/>
          <w:highlight w:val="none"/>
        </w:rPr>
      </w:pPr>
      <w:r>
        <w:rPr>
          <w:rFonts w:hint="eastAsia" w:ascii="宋体" w:hAnsi="宋体" w:eastAsia="宋体" w:cs="宋体"/>
          <w:b/>
          <w:bCs w:val="0"/>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
          <w:bCs w:val="0"/>
          <w:color w:val="auto"/>
          <w:spacing w:val="20"/>
          <w:sz w:val="52"/>
          <w:szCs w:val="52"/>
          <w:highlight w:val="none"/>
        </w:rPr>
        <w:t xml:space="preserve">招标文件</w:t>
      </w:r>
      <w:r/>
    </w:p>
    <w:p>
      <w:pPr>
        <w:jc w:val="center"/>
        <w:rPr>
          <w:rFonts w:hint="eastAsia" w:ascii="宋体" w:hAnsi="宋体" w:eastAsia="宋体" w:cs="宋体"/>
          <w:b/>
          <w:bCs w:val="0"/>
          <w:color w:val="auto"/>
          <w:sz w:val="72"/>
          <w:szCs w:val="72"/>
          <w:highlight w:val="none"/>
        </w:rPr>
      </w:pPr>
      <w:r>
        <w:rPr>
          <w:rFonts w:hint="eastAsia" w:ascii="宋体" w:hAnsi="宋体" w:eastAsia="宋体" w:cs="宋体"/>
          <w:b/>
          <w:bCs w:val="0"/>
          <w:color w:val="auto"/>
          <w:sz w:val="30"/>
          <w:highlight w:val="none"/>
        </w:rPr>
        <w:t xml:space="preserve">（全流程电子化不见面开标）</w:t>
      </w:r>
      <w:r/>
    </w:p>
    <w:p>
      <w:pPr>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010"/>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10"/>
        <w:ind w:firstLine="568"/>
        <w:rPr>
          <w:rFonts w:hint="eastAsia" w:ascii="宋体" w:hAnsi="宋体" w:eastAsia="宋体" w:cs="宋体"/>
          <w:color w:val="auto"/>
          <w:highlight w:val="none"/>
        </w:rPr>
      </w:pPr>
      <w:r>
        <w:rPr>
          <w:rFonts w:hint="eastAsia" w:ascii="宋体" w:hAnsi="宋体" w:eastAsia="宋体" w:cs="宋体"/>
          <w:color w:val="auto"/>
          <w:highlight w:val="none"/>
        </w:rPr>
      </w:r>
      <w:r/>
    </w:p>
    <w:p>
      <w:pPr>
        <w:ind w:left="1940" w:hanging="292"/>
        <w:jc w:val="both"/>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 xml:space="preserve">项目</w:t>
      </w:r>
      <w:r>
        <w:rPr>
          <w:rFonts w:hint="eastAsia" w:ascii="宋体" w:hAnsi="宋体" w:eastAsia="宋体" w:cs="宋体"/>
          <w:b/>
          <w:bCs/>
          <w:color w:val="auto"/>
          <w:sz w:val="32"/>
          <w:szCs w:val="32"/>
          <w:highlight w:val="none"/>
        </w:rPr>
        <w:t xml:space="preserve">编号：JSZC-321200-JTTZ-G2025-0043</w:t>
      </w:r>
      <w:r/>
    </w:p>
    <w:p>
      <w:pPr>
        <w:ind w:left="1940" w:hanging="292"/>
        <w:jc w:val="both"/>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项目名称：</w:t>
      </w:r>
      <w:r>
        <w:rPr>
          <w:rFonts w:hint="eastAsia" w:ascii="宋体" w:hAnsi="宋体" w:eastAsia="宋体" w:cs="宋体"/>
          <w:b/>
          <w:bCs/>
          <w:color w:val="auto"/>
          <w:sz w:val="32"/>
          <w:szCs w:val="32"/>
          <w:highlight w:val="none"/>
          <w:lang w:eastAsia="zh-CN"/>
        </w:rPr>
        <w:t xml:space="preserve">牵手夕阳老年人意外伤害保险</w:t>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采购人：泰州市民政局　泰州市慈善总会</w:t>
      </w:r>
      <w:r/>
    </w:p>
    <w:p>
      <w:pPr>
        <w:ind w:firstLine="419"/>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采购代理机构：江苏</w:t>
      </w:r>
      <w:r>
        <w:rPr>
          <w:rFonts w:hint="eastAsia" w:ascii="宋体" w:hAnsi="宋体" w:eastAsia="宋体" w:cs="宋体"/>
          <w:b/>
          <w:bCs/>
          <w:color w:val="auto"/>
          <w:sz w:val="32"/>
          <w:szCs w:val="32"/>
          <w:highlight w:val="none"/>
          <w:lang w:val="en-US" w:eastAsia="zh-CN"/>
        </w:rPr>
        <w:t xml:space="preserve">建泰工程项目管理</w:t>
      </w:r>
      <w:r>
        <w:rPr>
          <w:rFonts w:hint="eastAsia" w:ascii="宋体" w:hAnsi="宋体" w:eastAsia="宋体" w:cs="宋体"/>
          <w:b/>
          <w:bCs/>
          <w:color w:val="auto"/>
          <w:sz w:val="32"/>
          <w:szCs w:val="32"/>
          <w:highlight w:val="none"/>
        </w:rPr>
        <w:t xml:space="preserve">有限公司</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2025年</w:t>
      </w:r>
      <w:r>
        <w:rPr>
          <w:rFonts w:hint="eastAsia" w:ascii="宋体" w:hAnsi="宋体" w:eastAsia="宋体" w:cs="宋体"/>
          <w:b/>
          <w:color w:val="auto"/>
          <w:sz w:val="32"/>
          <w:szCs w:val="32"/>
          <w:highlight w:val="none"/>
          <w:lang w:val="en-US" w:eastAsia="zh-CN"/>
        </w:rPr>
        <w:t xml:space="preserve">12</w:t>
      </w:r>
      <w:r>
        <w:rPr>
          <w:rFonts w:hint="eastAsia" w:ascii="宋体" w:hAnsi="宋体" w:eastAsia="宋体" w:cs="宋体"/>
          <w:b/>
          <w:color w:val="auto"/>
          <w:sz w:val="32"/>
          <w:szCs w:val="32"/>
          <w:highlight w:val="none"/>
        </w:rPr>
        <w:t xml:space="preserve">月</w:t>
      </w:r>
      <w:r/>
    </w:p>
    <w:p>
      <w:pPr>
        <w:ind w:right="840"/>
        <w:jc w:val="center"/>
        <w:spacing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28"/>
          <w:szCs w:val="28"/>
          <w:highlight w:val="none"/>
        </w:rPr>
        <w:br w:type="page" w:clear="all"/>
      </w:r>
      <w:r>
        <w:rPr>
          <w:rFonts w:hint="eastAsia" w:ascii="宋体" w:hAnsi="宋体" w:eastAsia="宋体" w:cs="宋体"/>
          <w:b/>
          <w:color w:val="auto"/>
          <w:sz w:val="36"/>
          <w:szCs w:val="36"/>
          <w:highlight w:val="none"/>
        </w:rPr>
        <w:t xml:space="preserve">目  录</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6"/>
        <w:spacing w:line="480" w:lineRule="auto"/>
        <w:tabs>
          <w:tab w:val="right" w:pos="9344" w:leader="dot"/>
        </w:tabs>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fldChar w:fldCharType="begin"/>
      </w:r>
      <w:r>
        <w:rPr>
          <w:rFonts w:hint="eastAsia" w:ascii="宋体" w:hAnsi="宋体" w:eastAsia="宋体" w:cs="宋体"/>
          <w:b/>
          <w:color w:val="auto"/>
          <w:sz w:val="28"/>
          <w:szCs w:val="21"/>
          <w:highlight w:val="none"/>
        </w:rPr>
        <w:instrText xml:space="preserve">TOC  \* MERGEFORMAT</w:instrText>
      </w:r>
      <w:r>
        <w:rPr>
          <w:rFonts w:hint="eastAsia" w:ascii="宋体" w:hAnsi="宋体" w:eastAsia="宋体" w:cs="宋体"/>
          <w:b/>
          <w:color w:val="auto"/>
          <w:sz w:val="28"/>
          <w:szCs w:val="21"/>
          <w:highlight w:val="none"/>
        </w:rPr>
        <w:fldChar w:fldCharType="separate"/>
      </w:r>
      <w:r>
        <w:rPr>
          <w:rFonts w:hint="eastAsia" w:ascii="宋体" w:hAnsi="宋体" w:eastAsia="宋体" w:cs="宋体"/>
          <w:b/>
          <w:color w:val="auto"/>
          <w:sz w:val="28"/>
          <w:szCs w:val="21"/>
          <w:highlight w:val="none"/>
        </w:rPr>
        <w:t xml:space="preserve">第一章 招标公告</w:t>
      </w:r>
      <w:r/>
    </w:p>
    <w:p>
      <w:pPr>
        <w:pStyle w:val="996"/>
        <w:spacing w:line="480" w:lineRule="auto"/>
        <w:tabs>
          <w:tab w:val="right" w:pos="9344" w:leader="dot"/>
        </w:tabs>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第二章 投标人须知</w:t>
      </w:r>
      <w:r/>
    </w:p>
    <w:p>
      <w:pPr>
        <w:pStyle w:val="996"/>
        <w:spacing w:line="480" w:lineRule="auto"/>
        <w:tabs>
          <w:tab w:val="right" w:pos="9344" w:leader="dot"/>
        </w:tabs>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第三章 采购需求</w:t>
      </w:r>
      <w:r/>
    </w:p>
    <w:p>
      <w:pPr>
        <w:pStyle w:val="996"/>
        <w:spacing w:line="480" w:lineRule="auto"/>
        <w:tabs>
          <w:tab w:val="right" w:pos="9344" w:leader="dot"/>
        </w:tabs>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第四章 评标办法及评标标准</w:t>
      </w:r>
      <w:r/>
    </w:p>
    <w:p>
      <w:pPr>
        <w:pStyle w:val="996"/>
        <w:spacing w:line="480" w:lineRule="auto"/>
        <w:tabs>
          <w:tab w:val="right" w:pos="9344" w:leader="dot"/>
        </w:tabs>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t xml:space="preserve">第五章 合同条款</w:t>
      </w:r>
      <w:r/>
    </w:p>
    <w:p>
      <w:pPr>
        <w:pStyle w:val="996"/>
        <w:spacing w:line="480" w:lineRule="auto"/>
        <w:tabs>
          <w:tab w:val="right" w:pos="9344" w:leader="dot"/>
        </w:tabs>
        <w:rPr>
          <w:rFonts w:hint="default" w:ascii="宋体" w:hAnsi="宋体" w:eastAsia="宋体" w:cs="宋体"/>
          <w:b/>
          <w:color w:val="auto"/>
          <w:sz w:val="28"/>
          <w:szCs w:val="21"/>
          <w:highlight w:val="none"/>
          <w:lang w:val="en-US" w:eastAsia="zh-CN"/>
        </w:rPr>
      </w:pPr>
      <w:r>
        <w:rPr>
          <w:rFonts w:hint="eastAsia" w:ascii="宋体" w:hAnsi="宋体" w:eastAsia="宋体" w:cs="宋体"/>
          <w:b/>
          <w:color w:val="auto"/>
          <w:sz w:val="28"/>
          <w:szCs w:val="21"/>
          <w:highlight w:val="none"/>
        </w:rPr>
        <w:fldChar w:fldCharType="end"/>
      </w:r>
      <w:r>
        <w:rPr>
          <w:rFonts w:hint="eastAsia" w:ascii="宋体" w:hAnsi="宋体" w:eastAsia="宋体" w:cs="宋体"/>
          <w:b/>
          <w:color w:val="auto"/>
          <w:sz w:val="28"/>
          <w:szCs w:val="21"/>
          <w:highlight w:val="none"/>
        </w:rPr>
        <w:t xml:space="preserve">第</w:t>
      </w:r>
      <w:r>
        <w:rPr>
          <w:rFonts w:hint="eastAsia" w:ascii="宋体" w:hAnsi="宋体" w:eastAsia="宋体" w:cs="宋体"/>
          <w:b/>
          <w:color w:val="auto"/>
          <w:sz w:val="28"/>
          <w:szCs w:val="21"/>
          <w:highlight w:val="none"/>
          <w:lang w:val="en-US" w:eastAsia="zh-CN"/>
        </w:rPr>
        <w:t xml:space="preserve">六</w:t>
      </w:r>
      <w:r>
        <w:rPr>
          <w:rFonts w:hint="eastAsia" w:ascii="宋体" w:hAnsi="宋体" w:eastAsia="宋体" w:cs="宋体"/>
          <w:b/>
          <w:color w:val="auto"/>
          <w:sz w:val="28"/>
          <w:szCs w:val="21"/>
          <w:highlight w:val="none"/>
        </w:rPr>
        <w:t xml:space="preserve">章 </w:t>
      </w:r>
      <w:r>
        <w:rPr>
          <w:rFonts w:hint="eastAsia" w:ascii="宋体" w:hAnsi="宋体" w:eastAsia="宋体" w:cs="宋体"/>
          <w:b/>
          <w:color w:val="auto"/>
          <w:sz w:val="28"/>
          <w:szCs w:val="21"/>
          <w:highlight w:val="none"/>
          <w:lang w:val="en-US" w:eastAsia="zh-CN"/>
        </w:rPr>
        <w:t xml:space="preserve">投标文件格式</w:t>
      </w:r>
      <w:r/>
    </w:p>
    <w:p>
      <w:pPr>
        <w:pStyle w:val="996"/>
        <w:spacing w:line="480" w:lineRule="auto"/>
        <w:tabs>
          <w:tab w:val="right" w:pos="9344" w:leader="dot"/>
        </w:tabs>
        <w:rPr>
          <w:rFonts w:hint="eastAsia" w:ascii="宋体" w:hAnsi="宋体" w:eastAsia="宋体" w:cs="宋体"/>
          <w:b/>
          <w:color w:val="auto"/>
          <w:sz w:val="28"/>
          <w:szCs w:val="21"/>
          <w:highlight w:val="none"/>
        </w:rPr>
      </w:pPr>
      <w:r>
        <w:rPr>
          <w:rFonts w:hint="eastAsia" w:ascii="宋体" w:hAnsi="宋体" w:eastAsia="宋体" w:cs="宋体"/>
          <w:b/>
          <w:color w:val="auto"/>
          <w:sz w:val="28"/>
          <w:szCs w:val="21"/>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sz w:val="21"/>
          <w:szCs w:val="21"/>
          <w:highlight w:val="none"/>
        </w:rPr>
        <w:br w:type="page" w:clear="all"/>
      </w:r>
      <w:bookmarkStart w:id="2" w:name="_Toc388026584"/>
      <w:r/>
      <w:bookmarkStart w:id="3" w:name="_Toc409438817"/>
      <w:r>
        <w:rPr>
          <w:rFonts w:hint="eastAsia" w:ascii="宋体" w:hAnsi="宋体" w:eastAsia="宋体" w:cs="宋体"/>
          <w:b/>
          <w:color w:val="auto"/>
          <w:spacing w:val="15"/>
          <w:sz w:val="32"/>
          <w:szCs w:val="32"/>
          <w:highlight w:val="none"/>
        </w:rPr>
        <w:t xml:space="preserve">第一章</w:t>
      </w:r>
      <w:r>
        <w:rPr>
          <w:rFonts w:hint="eastAsia" w:ascii="宋体" w:hAnsi="宋体" w:eastAsia="宋体" w:cs="宋体"/>
          <w:color w:val="auto"/>
          <w:sz w:val="24"/>
          <w:szCs w:val="24"/>
          <w:highlight w:val="none"/>
        </w:rPr>
        <w:t xml:space="preserve"> </w:t>
      </w:r>
      <w:bookmarkStart w:id="4" w:name="_Toc258329824"/>
      <w:r/>
      <w:bookmarkEnd w:id="4"/>
      <w:r/>
      <w:bookmarkStart w:id="5" w:name="_Toc228679947"/>
      <w:r/>
      <w:bookmarkEnd w:id="5"/>
      <w:r/>
      <w:bookmarkStart w:id="6" w:name="_Toc417477665"/>
      <w:r/>
      <w:bookmarkEnd w:id="6"/>
      <w:r>
        <w:rPr>
          <w:rFonts w:hint="eastAsia" w:ascii="宋体" w:hAnsi="宋体" w:eastAsia="宋体" w:cs="宋体"/>
          <w:b/>
          <w:color w:val="auto"/>
          <w:spacing w:val="15"/>
          <w:sz w:val="32"/>
          <w:szCs w:val="32"/>
          <w:highlight w:val="none"/>
        </w:rPr>
        <w:t xml:space="preserve">招标公告</w:t>
      </w:r>
      <w:r/>
    </w:p>
    <w:p>
      <w:pPr>
        <w:jc w:val="both"/>
        <w:pageBreakBefore w:val="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auto"/>
          <w:sz w:val="24"/>
          <w:szCs w:val="24"/>
          <w:highlight w:val="none"/>
        </w:rPr>
        <w:t xml:space="preserve">项目概况</w:t>
      </w:r>
      <w:r/>
    </w:p>
    <w:p>
      <w:pPr>
        <w:ind w:firstLine="488"/>
        <w:jc w:val="both"/>
        <w:pageBreakBefore w:val="0"/>
        <w:spacing w:line="50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olor w:val="auto"/>
          <w:sz w:val="24"/>
          <w:szCs w:val="24"/>
          <w:highlight w:val="none"/>
          <w:u w:val="single"/>
          <w:lang w:eastAsia="zh-CN"/>
        </w:rPr>
        <w:t xml:space="preserve">牵手夕阳老年人意外伤害保险</w:t>
      </w:r>
      <w:r>
        <w:rPr>
          <w:rFonts w:hint="eastAsia" w:ascii="宋体" w:hAnsi="宋体" w:eastAsia="宋体" w:cs="宋体"/>
          <w:color w:val="auto"/>
          <w:sz w:val="24"/>
          <w:szCs w:val="24"/>
          <w:highlight w:val="none"/>
        </w:rPr>
        <w:t xml:space="preserve">招标项目的潜在投标人应在江苏政府采购“苏采云”系统获取招标文件，并于</w:t>
      </w:r>
      <w:r>
        <w:rPr>
          <w:rFonts w:hint="eastAsia" w:ascii="宋体" w:hAnsi="宋体" w:eastAsia="宋体" w:cs="宋体"/>
          <w:color w:val="auto"/>
          <w:sz w:val="24"/>
          <w:szCs w:val="24"/>
          <w:highlight w:val="none"/>
          <w:u w:val="single"/>
        </w:rPr>
        <w:t xml:space="preserve">2025</w:t>
      </w:r>
      <w:r>
        <w:rPr>
          <w:rFonts w:hint="eastAsia" w:ascii="宋体" w:hAnsi="宋体" w:eastAsia="宋体" w:cs="宋体"/>
          <w:color w:val="auto"/>
          <w:sz w:val="24"/>
          <w:szCs w:val="24"/>
          <w:highlight w:val="none"/>
          <w:u w:val="single"/>
          <w:lang w:val="en-US" w:eastAsia="zh-CN"/>
        </w:rPr>
        <w:t xml:space="preserve">年12月29日</w:t>
      </w:r>
      <w:r>
        <w:rPr>
          <w:rFonts w:hint="eastAsia" w:ascii="宋体" w:hAnsi="宋体" w:eastAsia="宋体" w:cs="宋体"/>
          <w:color w:val="auto"/>
          <w:sz w:val="24"/>
          <w:szCs w:val="24"/>
          <w:highlight w:val="none"/>
          <w:u w:val="single"/>
        </w:rPr>
        <w:t xml:space="preserve">09</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00</w:t>
      </w:r>
      <w:r>
        <w:rPr>
          <w:rFonts w:hint="eastAsia" w:ascii="宋体" w:hAnsi="宋体" w:eastAsia="宋体" w:cs="宋体"/>
          <w:bCs/>
          <w:color w:val="auto"/>
          <w:sz w:val="24"/>
          <w:szCs w:val="24"/>
          <w:highlight w:val="none"/>
        </w:rPr>
        <w:t xml:space="preserve">（北京时间）前递交投标文件</w:t>
      </w:r>
      <w:r>
        <w:rPr>
          <w:rFonts w:hint="eastAsia" w:ascii="宋体" w:hAnsi="宋体" w:eastAsia="宋体" w:cs="宋体"/>
          <w:color w:val="auto"/>
          <w:sz w:val="24"/>
          <w:szCs w:val="24"/>
          <w:highlight w:val="none"/>
        </w:rPr>
        <w:t xml:space="preserve">。</w:t>
      </w:r>
      <w:r/>
    </w:p>
    <w:p>
      <w:pPr>
        <w:pStyle w:val="955"/>
        <w:jc w:val="both"/>
        <w:pageBreakBefore w:val="0"/>
        <w:spacing w:before="0" w:after="0" w:line="500" w:lineRule="exact"/>
        <w:rPr>
          <w:rFonts w:hint="eastAsia" w:ascii="宋体" w:hAnsi="宋体" w:eastAsia="宋体" w:cs="宋体"/>
          <w:b w:val="0"/>
          <w:color w:val="auto"/>
          <w:sz w:val="24"/>
          <w:szCs w:val="24"/>
          <w:highlight w:val="none"/>
        </w:rPr>
        <w:outlineLvl w:val="9"/>
      </w:pPr>
      <w:r/>
      <w:bookmarkStart w:id="7" w:name="_Toc35393790"/>
      <w:r/>
      <w:bookmarkStart w:id="8" w:name="_Toc28359079"/>
      <w:r/>
      <w:bookmarkStart w:id="9" w:name="_Toc35393621"/>
      <w:r/>
      <w:bookmarkStart w:id="10" w:name="_Toc28359002"/>
      <w:r/>
      <w:bookmarkStart w:id="11" w:name="_Hlk24379207"/>
      <w:r>
        <w:rPr>
          <w:rFonts w:hint="eastAsia" w:ascii="宋体" w:hAnsi="宋体" w:eastAsia="宋体" w:cs="宋体"/>
          <w:b w:val="0"/>
          <w:color w:val="auto"/>
          <w:sz w:val="24"/>
          <w:szCs w:val="24"/>
          <w:highlight w:val="none"/>
        </w:rPr>
        <w:t xml:space="preserve">一、项目基本情况</w:t>
      </w:r>
      <w:bookmarkEnd w:id="7"/>
      <w:r/>
      <w:bookmarkEnd w:id="8"/>
      <w:r/>
      <w:bookmarkEnd w:id="9"/>
      <w:r/>
      <w:bookmarkEnd w:id="10"/>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项目编号：JSZC-321200-JTTZ-G2025-0043</w:t>
      </w:r>
      <w:r/>
    </w:p>
    <w:p>
      <w:pPr>
        <w:ind w:firstLine="488"/>
        <w:jc w:val="both"/>
        <w:pageBreakBefore w:val="0"/>
        <w:spacing w:line="50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项目名称：</w:t>
      </w:r>
      <w:bookmarkEnd w:id="11"/>
      <w:r>
        <w:rPr>
          <w:rFonts w:hint="eastAsia" w:ascii="宋体" w:hAnsi="宋体" w:eastAsia="宋体" w:cs="宋体"/>
          <w:color w:val="auto"/>
          <w:sz w:val="24"/>
          <w:szCs w:val="24"/>
          <w:highlight w:val="none"/>
          <w:lang w:eastAsia="zh-CN"/>
        </w:rPr>
        <w:t xml:space="preserve">牵手夕阳老年人意外伤害保险</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230</w:t>
      </w:r>
      <w:r>
        <w:rPr>
          <w:rFonts w:hint="eastAsia" w:ascii="宋体" w:hAnsi="宋体" w:eastAsia="宋体" w:cs="宋体"/>
          <w:color w:val="auto"/>
          <w:sz w:val="24"/>
          <w:szCs w:val="24"/>
          <w:highlight w:val="none"/>
        </w:rPr>
        <w:t xml:space="preserve">万元</w:t>
      </w:r>
      <w:r/>
    </w:p>
    <w:p>
      <w:pPr>
        <w:ind w:firstLine="488"/>
        <w:jc w:val="both"/>
        <w:pageBreakBefore w:val="0"/>
        <w:spacing w:line="50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val="en-US" w:eastAsia="zh-CN"/>
        </w:rPr>
        <w:t xml:space="preserve">230</w:t>
      </w:r>
      <w:r>
        <w:rPr>
          <w:rFonts w:hint="eastAsia" w:ascii="宋体" w:hAnsi="宋体" w:eastAsia="宋体" w:cs="宋体"/>
          <w:color w:val="auto"/>
          <w:sz w:val="24"/>
          <w:szCs w:val="24"/>
          <w:highlight w:val="none"/>
        </w:rPr>
        <w:t xml:space="preserve">万元</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采购方式：公开招标</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适用人群：1.</w:t>
      </w:r>
      <w:r>
        <w:rPr>
          <w:rFonts w:hint="eastAsia" w:ascii="宋体" w:hAnsi="宋体" w:eastAsia="宋体" w:cs="宋体"/>
          <w:color w:val="auto"/>
          <w:sz w:val="24"/>
          <w:szCs w:val="24"/>
          <w:highlight w:val="none"/>
        </w:rPr>
        <w:t xml:space="preserve">具有泰州市户籍，出险时已满60周岁及以上的且经泰州各市（区）民政局认定的低收入人口，包括最低生活保障对象、特困供养人员、低保边缘家庭和支出型困难家庭四类人群。</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具有泰州市户籍，出险时已满80周岁及以上的人群（除泰州各市（区）民政局认定的低收入人口）。</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采购险种：意外伤害伤残保险、意外伤害医疗保险、意外伤害住院津贴保险、特定区域意外伤害身故保险。</w:t>
      </w:r>
      <w:r/>
    </w:p>
    <w:p>
      <w:pPr>
        <w:pStyle w:val="978"/>
        <w:ind w:firstLine="480"/>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合同履行期限：</w:t>
      </w: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w:t>
      </w:r>
      <w:r/>
    </w:p>
    <w:p>
      <w:pPr>
        <w:pStyle w:val="978"/>
        <w:ind w:firstLine="480"/>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本项目（是/否）接受联合体投标：是</w:t>
      </w:r>
      <w:r/>
    </w:p>
    <w:p>
      <w:pPr>
        <w:pStyle w:val="955"/>
        <w:jc w:val="both"/>
        <w:pageBreakBefore w:val="0"/>
        <w:spacing w:before="0" w:after="0" w:line="500" w:lineRule="exact"/>
        <w:rPr>
          <w:rFonts w:hint="eastAsia" w:ascii="宋体" w:hAnsi="宋体" w:eastAsia="宋体" w:cs="宋体"/>
          <w:b w:val="0"/>
          <w:color w:val="auto"/>
          <w:sz w:val="24"/>
          <w:szCs w:val="24"/>
          <w:highlight w:val="none"/>
        </w:rPr>
        <w:outlineLvl w:val="9"/>
      </w:pPr>
      <w:r/>
      <w:bookmarkStart w:id="12" w:name="_Toc28359003"/>
      <w:r/>
      <w:bookmarkStart w:id="13" w:name="_Toc35393791"/>
      <w:r/>
      <w:bookmarkStart w:id="14" w:name="_Toc28359080"/>
      <w:r/>
      <w:bookmarkStart w:id="15" w:name="_Toc35393622"/>
      <w:r>
        <w:rPr>
          <w:rFonts w:hint="eastAsia" w:ascii="宋体" w:hAnsi="宋体" w:eastAsia="宋体" w:cs="宋体"/>
          <w:b w:val="0"/>
          <w:color w:val="auto"/>
          <w:sz w:val="24"/>
          <w:szCs w:val="24"/>
          <w:highlight w:val="none"/>
        </w:rPr>
        <w:t xml:space="preserve">二、申请人的资格要求：</w:t>
      </w:r>
      <w:bookmarkEnd w:id="12"/>
      <w:r/>
      <w:bookmarkEnd w:id="13"/>
      <w:r/>
      <w:bookmarkEnd w:id="14"/>
      <w:r/>
      <w:bookmarkEnd w:id="15"/>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（一）满足《中华人民共和国政府采购法》第二十二条规定：</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1.具有独立承担民事责任的能力；</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2.具有良好的商业信誉和健全的财务会计制度；</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3.具有履行合同所必需的设备和专业技术能力；</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4.有依法缴纳税收和社会保障资金的良好记录；</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6.法律、行政法规规定的其他条件。</w:t>
      </w:r>
      <w:r/>
    </w:p>
    <w:p>
      <w:pPr>
        <w:ind w:firstLine="480"/>
        <w:spacing w:line="520" w:lineRule="exact"/>
        <w:rPr>
          <w:rFonts w:hint="eastAsia" w:ascii="宋体" w:hAnsi="宋体" w:eastAsia="宋体" w:cs="宋体"/>
          <w:color w:val="auto"/>
          <w:sz w:val="24"/>
          <w:szCs w:val="24"/>
          <w:highlight w:val="none"/>
        </w:rPr>
      </w:pPr>
      <w:r/>
      <w:bookmarkStart w:id="16" w:name="_Toc28359004"/>
      <w:r/>
      <w:bookmarkStart w:id="17" w:name="_Toc28359081"/>
      <w:r>
        <w:rPr>
          <w:rFonts w:hint="eastAsia" w:ascii="宋体" w:hAnsi="宋体" w:eastAsia="宋体" w:cs="宋体"/>
          <w:color w:val="auto"/>
          <w:sz w:val="24"/>
          <w:szCs w:val="24"/>
          <w:highlight w:val="none"/>
        </w:rPr>
        <w:t xml:space="preserve">（二）落实政府采购政策需满足的资格要求：本项目属于其他未列明行业，不专门面向中小微企业、监狱企业、残疾人福利性单位，对符合条件的小型和微型企业、监狱企业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残疾人福利性单位给予10%的扣除价格，用扣除后的价格参与评审。</w:t>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（三）本项目的特定资格要求：</w:t>
      </w:r>
      <w:r/>
    </w:p>
    <w:p>
      <w:pPr>
        <w:ind w:firstLine="480"/>
        <w:spacing w:line="520" w:lineRule="exact"/>
        <w:rPr>
          <w:rFonts w:hint="eastAsia" w:ascii="宋体" w:hAnsi="宋体" w:eastAsia="宋体" w:cs="宋体"/>
          <w:color w:val="auto"/>
          <w:sz w:val="24"/>
          <w:szCs w:val="24"/>
          <w:highlight w:val="none"/>
          <w:lang w:eastAsia="zh-CN"/>
        </w:rPr>
      </w:pPr>
      <w:r/>
      <w:bookmarkStart w:id="18" w:name="_Toc35393623"/>
      <w:r/>
      <w:bookmarkStart w:id="19" w:name="_Toc35393792"/>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供应商须为经保险监管部门批准设立的商业保险公司或其分（支）公司，具备有效的保险许可证或经营保险业务许可证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分（支）公司须取得</w:t>
      </w:r>
      <w:r>
        <w:rPr>
          <w:rFonts w:hint="eastAsia" w:ascii="宋体" w:hAnsi="宋体" w:eastAsia="宋体" w:cs="宋体"/>
          <w:color w:val="auto"/>
          <w:sz w:val="24"/>
          <w:szCs w:val="24"/>
          <w:highlight w:val="none"/>
          <w:lang w:val="en-US" w:eastAsia="zh-CN"/>
        </w:rPr>
        <w:t xml:space="preserve">上级公司</w:t>
      </w:r>
      <w:r>
        <w:rPr>
          <w:rFonts w:hint="eastAsia" w:ascii="宋体" w:hAnsi="宋体" w:eastAsia="宋体" w:cs="宋体"/>
          <w:color w:val="auto"/>
          <w:sz w:val="24"/>
          <w:szCs w:val="24"/>
          <w:highlight w:val="none"/>
        </w:rPr>
        <w:t xml:space="preserve">的授权，同一公司只能授权一家分（支）公司参与</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本项目接受联合体</w:t>
      </w:r>
      <w:r>
        <w:rPr>
          <w:rFonts w:hint="eastAsia" w:ascii="宋体" w:hAnsi="宋体" w:eastAsia="宋体" w:cs="宋体"/>
          <w:color w:val="auto"/>
          <w:sz w:val="24"/>
          <w:szCs w:val="24"/>
          <w:highlight w:val="none"/>
          <w:lang w:val="en-US" w:eastAsia="zh-CN"/>
        </w:rPr>
        <w:t xml:space="preserve">投标，具体要求为：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可以组成一个联合体，以一个投标</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的身份投标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联合体成员（含牵头方）数量不得超过5家</w:t>
      </w:r>
      <w:r>
        <w:rPr>
          <w:rFonts w:hint="eastAsia" w:ascii="宋体" w:hAnsi="宋体" w:eastAsia="宋体" w:cs="宋体"/>
          <w:color w:val="auto"/>
          <w:sz w:val="24"/>
          <w:szCs w:val="24"/>
          <w:highlight w:val="none"/>
        </w:rPr>
        <w:t xml:space="preserve">。以联合体形式参加投标的，联合体各方均应当符合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中华人民共和国政府采购法实施条例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规定的条件。联合体各方均应符合采购人规定的资格要求。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（2）联合体各方应按</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文件提供的格式签订联合体协议书，明确联合体牵头人和各方权利义务。联合体牵头人代表联合体各成员，负责参加投标的所有事务，并承担投标、签约、履约中应承担的全部责任与义务。本项目</w:t>
      </w:r>
      <w:r>
        <w:rPr>
          <w:rFonts w:hint="eastAsia" w:ascii="宋体" w:hAnsi="宋体" w:eastAsia="宋体" w:cs="宋体"/>
          <w:color w:val="auto"/>
          <w:sz w:val="24"/>
          <w:szCs w:val="24"/>
          <w:highlight w:val="none"/>
          <w:lang w:val="en-US" w:eastAsia="zh-CN"/>
        </w:rPr>
        <w:t xml:space="preserve">政府采购</w:t>
      </w:r>
      <w:r>
        <w:rPr>
          <w:rFonts w:hint="eastAsia" w:ascii="宋体" w:hAnsi="宋体" w:eastAsia="宋体" w:cs="宋体"/>
          <w:color w:val="auto"/>
          <w:sz w:val="24"/>
          <w:szCs w:val="24"/>
          <w:highlight w:val="none"/>
        </w:rPr>
        <w:t xml:space="preserve">活动中，联合体牵头人及其授权代表签署的文件视作联合体所有各方共同签署的文件，</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文件另有规定或联合体</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文件另有约定并经采购人同意的除外。</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（3）如联合体</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后，联合体牵头人代表联合体各成员负责与采购人进行合同的对接、洽谈和项目的推动工作，并在后期的项目开展运行中承担全部责任，应按照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文件要求无条件响应采购人的需求，对项目运行管理中出现的问题和难点应及时主动予以解决，不得以任何理由推诿、推脱，如有违反，</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有权予以处罚并解除合同。联合体各方应共同与采购人签订采购合同，就采购合同约定的事项对采购人承担连带责任。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（4）参加联合的各成员单位对本项目不得再以自己名义单独投标，也不得组成新的联合体参加本项目的投标。如果违反，与此有关的联合体的投标将被拒绝。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.未被“信用中国”网站（www.creditchina.gov.cn）列入失信被执行人、重大税收违法失信主体、政府采购严重违法失信行为记录名单。</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单位负责人为同一人或者存在直接控股、管理关系的不同供应商，不得同时参加本项目的采购活动。为采购项目提供整体设计、规范编制或者项目管理、监理、检测等服务的供应商，不得再参加该项目的其他采购活动。</w:t>
      </w:r>
      <w:r/>
    </w:p>
    <w:p>
      <w:pPr>
        <w:pStyle w:val="955"/>
        <w:jc w:val="both"/>
        <w:pageBreakBefore w:val="0"/>
        <w:spacing w:before="0" w:after="0" w:line="50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三、获取招标文件</w:t>
      </w:r>
      <w:bookmarkEnd w:id="16"/>
      <w:r/>
      <w:bookmarkEnd w:id="17"/>
      <w:r/>
      <w:bookmarkEnd w:id="18"/>
      <w:r/>
      <w:bookmarkEnd w:id="19"/>
      <w:r>
        <w:rPr>
          <w:rFonts w:hint="eastAsia" w:ascii="宋体" w:hAnsi="宋体" w:eastAsia="宋体" w:cs="宋体"/>
          <w:b w:val="0"/>
          <w:color w:val="auto"/>
          <w:sz w:val="24"/>
          <w:szCs w:val="24"/>
          <w:highlight w:val="none"/>
        </w:rPr>
        <w:t xml:space="preserve">：</w:t>
      </w:r>
      <w:r/>
    </w:p>
    <w:p>
      <w:pPr>
        <w:ind w:firstLine="480"/>
        <w:jc w:val="both"/>
        <w:pageBreakBefore w:val="0"/>
        <w:spacing w:line="500" w:lineRule="exact"/>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时间：</w:t>
      </w:r>
      <w:r>
        <w:rPr>
          <w:rFonts w:hint="eastAsia" w:ascii="宋体" w:hAnsi="宋体" w:eastAsia="宋体" w:cs="宋体"/>
          <w:color w:val="auto"/>
          <w:sz w:val="24"/>
          <w:szCs w:val="24"/>
          <w:highlight w:val="none"/>
          <w:lang w:val="en-US" w:eastAsia="zh-CN"/>
        </w:rPr>
        <w:t xml:space="preserve">2025年12月9日0:00-2025年12月16日0：00</w:t>
      </w:r>
      <w:r/>
    </w:p>
    <w:p>
      <w:pPr>
        <w:pStyle w:val="955"/>
        <w:ind w:firstLine="480"/>
        <w:jc w:val="both"/>
        <w:pageBreakBefore w:val="0"/>
        <w:spacing w:before="0" w:after="0" w:line="500" w:lineRule="exact"/>
        <w:rPr>
          <w:rFonts w:hint="eastAsia" w:ascii="宋体" w:hAnsi="宋体" w:eastAsia="宋体" w:cs="宋体"/>
          <w:b w:val="0"/>
          <w:bCs w:val="0"/>
          <w:color w:val="auto"/>
          <w:sz w:val="24"/>
          <w:szCs w:val="24"/>
          <w:highlight w:val="none"/>
        </w:rPr>
        <w:outlineLvl w:val="9"/>
      </w:pPr>
      <w:r/>
      <w:bookmarkStart w:id="20" w:name="_Toc28359082"/>
      <w:r/>
      <w:bookmarkStart w:id="21" w:name="_Toc28359005"/>
      <w:r/>
      <w:bookmarkStart w:id="22" w:name="_Toc35393793"/>
      <w:r/>
      <w:bookmarkStart w:id="23" w:name="_Toc35393624"/>
      <w:r>
        <w:rPr>
          <w:rFonts w:hint="eastAsia" w:ascii="宋体" w:hAnsi="宋体" w:eastAsia="宋体" w:cs="宋体"/>
          <w:b w:val="0"/>
          <w:bCs w:val="0"/>
          <w:color w:val="auto"/>
          <w:sz w:val="24"/>
          <w:szCs w:val="24"/>
          <w:highlight w:val="none"/>
        </w:rPr>
        <w:t xml:space="preserve">地点：江苏政府采购“苏采云”系统</w:t>
      </w:r>
      <w:r/>
    </w:p>
    <w:p>
      <w:pPr>
        <w:pStyle w:val="955"/>
        <w:ind w:firstLine="480"/>
        <w:jc w:val="both"/>
        <w:pageBreakBefore w:val="0"/>
        <w:spacing w:before="0" w:after="0" w:line="50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方式：供应商完成注册并办理CA证书后登录江苏政府采购“苏采云”系统下载本项目招标文件</w:t>
      </w:r>
      <w:r/>
    </w:p>
    <w:p>
      <w:pPr>
        <w:pStyle w:val="955"/>
        <w:ind w:firstLine="480"/>
        <w:jc w:val="both"/>
        <w:pageBreakBefore w:val="0"/>
        <w:spacing w:before="0" w:after="0" w:line="500" w:lineRule="exact"/>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售价：0.00元</w:t>
      </w:r>
      <w:r/>
    </w:p>
    <w:p>
      <w:pPr>
        <w:pStyle w:val="955"/>
        <w:jc w:val="both"/>
        <w:pageBreakBefore w:val="0"/>
        <w:spacing w:before="0" w:after="0" w:line="50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color w:val="auto"/>
          <w:sz w:val="24"/>
          <w:szCs w:val="24"/>
          <w:highlight w:val="none"/>
        </w:rPr>
        <w:t xml:space="preserve">四、提交投标文件</w:t>
      </w:r>
      <w:bookmarkEnd w:id="20"/>
      <w:r/>
      <w:bookmarkEnd w:id="21"/>
      <w:r>
        <w:rPr>
          <w:rFonts w:hint="eastAsia" w:ascii="宋体" w:hAnsi="宋体" w:eastAsia="宋体" w:cs="宋体"/>
          <w:b w:val="0"/>
          <w:color w:val="auto"/>
          <w:sz w:val="24"/>
          <w:szCs w:val="24"/>
          <w:highlight w:val="none"/>
        </w:rPr>
        <w:t xml:space="preserve">截止时间、开标时间和地点</w:t>
      </w:r>
      <w:bookmarkEnd w:id="22"/>
      <w:r/>
      <w:bookmarkEnd w:id="23"/>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时间：2025年</w:t>
      </w:r>
      <w:r>
        <w:rPr>
          <w:rFonts w:hint="eastAsia" w:ascii="宋体" w:hAnsi="宋体" w:eastAsia="宋体" w:cs="宋体"/>
          <w:color w:val="auto"/>
          <w:sz w:val="24"/>
          <w:szCs w:val="24"/>
          <w:highlight w:val="none"/>
          <w:lang w:val="en-US" w:eastAsia="zh-CN"/>
        </w:rPr>
        <w:t xml:space="preserve">12月29日</w:t>
      </w:r>
      <w:r>
        <w:rPr>
          <w:rFonts w:hint="eastAsia" w:ascii="宋体" w:hAnsi="宋体" w:eastAsia="宋体" w:cs="宋体"/>
          <w:color w:val="auto"/>
          <w:sz w:val="24"/>
          <w:szCs w:val="24"/>
          <w:highlight w:val="none"/>
        </w:rPr>
        <w:t xml:space="preserve">9点00分（北京时间）</w:t>
      </w:r>
      <w:r/>
    </w:p>
    <w:p>
      <w:pPr>
        <w:ind w:firstLine="480"/>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地点：江苏政府采购“苏采云”系统不见面开标大厅</w:t>
      </w:r>
      <w:r/>
    </w:p>
    <w:p>
      <w:pPr>
        <w:pStyle w:val="955"/>
        <w:jc w:val="both"/>
        <w:pageBreakBefore w:val="0"/>
        <w:spacing w:before="0" w:after="0" w:line="500" w:lineRule="exact"/>
        <w:rPr>
          <w:rFonts w:hint="eastAsia" w:ascii="宋体" w:hAnsi="宋体" w:eastAsia="宋体" w:cs="宋体"/>
          <w:b w:val="0"/>
          <w:color w:val="auto"/>
          <w:sz w:val="24"/>
          <w:szCs w:val="24"/>
          <w:highlight w:val="none"/>
        </w:rPr>
        <w:outlineLvl w:val="9"/>
      </w:pPr>
      <w:r/>
      <w:bookmarkStart w:id="24" w:name="_Toc35393794"/>
      <w:r/>
      <w:bookmarkStart w:id="25" w:name="_Toc35393625"/>
      <w:r/>
      <w:bookmarkStart w:id="26" w:name="_Toc28359084"/>
      <w:r/>
      <w:bookmarkStart w:id="27" w:name="_Toc28359007"/>
      <w:r>
        <w:rPr>
          <w:rFonts w:hint="eastAsia" w:ascii="宋体" w:hAnsi="宋体" w:eastAsia="宋体" w:cs="宋体"/>
          <w:b w:val="0"/>
          <w:color w:val="auto"/>
          <w:sz w:val="24"/>
          <w:szCs w:val="24"/>
          <w:highlight w:val="none"/>
        </w:rPr>
        <w:t xml:space="preserve">五、公告期限</w:t>
      </w:r>
      <w:bookmarkEnd w:id="24"/>
      <w:r/>
      <w:bookmarkEnd w:id="25"/>
      <w:r/>
      <w:bookmarkEnd w:id="26"/>
      <w:r/>
      <w:bookmarkEnd w:id="27"/>
      <w:r/>
      <w:r/>
    </w:p>
    <w:p>
      <w:pPr>
        <w:ind w:firstLine="488"/>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自本公告发布之日起5个工作日。</w:t>
      </w:r>
      <w:r/>
    </w:p>
    <w:p>
      <w:pPr>
        <w:pStyle w:val="955"/>
        <w:jc w:val="both"/>
        <w:pageBreakBefore w:val="0"/>
        <w:spacing w:before="0" w:after="0" w:line="500" w:lineRule="exact"/>
        <w:rPr>
          <w:rFonts w:hint="eastAsia" w:ascii="宋体" w:hAnsi="宋体" w:eastAsia="宋体" w:cs="宋体"/>
          <w:b w:val="0"/>
          <w:color w:val="auto"/>
          <w:sz w:val="24"/>
          <w:szCs w:val="24"/>
          <w:highlight w:val="none"/>
        </w:rPr>
        <w:outlineLvl w:val="9"/>
      </w:pPr>
      <w:r/>
      <w:bookmarkStart w:id="28" w:name="_Toc35393795"/>
      <w:r/>
      <w:bookmarkStart w:id="29" w:name="_Toc35393626"/>
      <w:r>
        <w:rPr>
          <w:rFonts w:hint="eastAsia" w:ascii="宋体" w:hAnsi="宋体" w:eastAsia="宋体" w:cs="宋体"/>
          <w:b w:val="0"/>
          <w:color w:val="auto"/>
          <w:sz w:val="24"/>
          <w:szCs w:val="24"/>
          <w:highlight w:val="none"/>
        </w:rPr>
        <w:t xml:space="preserve">六、其他补充事宜</w:t>
      </w:r>
      <w:bookmarkEnd w:id="28"/>
      <w:r/>
      <w:bookmarkEnd w:id="29"/>
      <w:r/>
      <w:r/>
    </w:p>
    <w:p>
      <w:pPr>
        <w:ind w:firstLine="480"/>
        <w:jc w:val="both"/>
        <w:pageBreakBefore w:val="0"/>
        <w:spacing w:line="500" w:lineRule="exact"/>
        <w:widowControl w:val="off"/>
        <w:rPr>
          <w:rFonts w:hint="eastAsia" w:ascii="宋体" w:hAnsi="宋体" w:eastAsia="宋体" w:cs="宋体"/>
          <w:color w:val="auto"/>
          <w:sz w:val="24"/>
          <w:szCs w:val="24"/>
          <w:highlight w:val="none"/>
        </w:rPr>
        <w:outlineLvl w:val="9"/>
      </w:pPr>
      <w:r/>
      <w:bookmarkStart w:id="30" w:name="_Toc35393627"/>
      <w:r/>
      <w:bookmarkStart w:id="31" w:name="_Toc35393796"/>
      <w:r/>
      <w:bookmarkStart w:id="32" w:name="_Toc28359085"/>
      <w:r/>
      <w:bookmarkStart w:id="33" w:name="_Toc28359008"/>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.本项目采用网上注册登记方式。潜在投标人访问电子招标投标交易平台的网络地址和方法：</w:t>
      </w:r>
      <w:r/>
    </w:p>
    <w:p>
      <w:pPr>
        <w:ind w:firstLine="480"/>
        <w:jc w:val="both"/>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（1）登录http://jszfcg.jsczt.cn/，点击“苏采云”进入系统。</w:t>
      </w:r>
      <w:r/>
    </w:p>
    <w:p>
      <w:pPr>
        <w:ind w:firstLine="480"/>
        <w:jc w:val="both"/>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（2）“CA数字证书”的获取：投标人需办理CA锁（原国信CA须更换新CA</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详见http://jsxcmm.com/help/gys.html）。投标客户端工具及投标人操作手册可访问江苏省政府采购网，“资料下载”进行下载《江苏省政府采购管理交易系统（苏采云）供应商操作手册及政府采购客户端》。</w:t>
      </w:r>
      <w:bookmarkStart w:id="70" w:name="_GoBack"/>
      <w:r/>
      <w:bookmarkEnd w:id="70"/>
      <w:r/>
      <w:r/>
    </w:p>
    <w:p>
      <w:pPr>
        <w:ind w:firstLine="480"/>
        <w:jc w:val="both"/>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.采购代理机构将数据电文形式的招标文件加载至电子招标投标交易平台，供潜在投标人下载或者查阅。</w:t>
      </w:r>
      <w:r/>
    </w:p>
    <w:p>
      <w:pPr>
        <w:ind w:firstLine="480"/>
        <w:jc w:val="both"/>
        <w:pageBreakBefore w:val="0"/>
        <w:spacing w:line="500" w:lineRule="exact"/>
        <w:widowControl w:val="off"/>
        <w:tabs>
          <w:tab w:val="left" w:pos="900" w:leader="none"/>
        </w:tabs>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.有关本次招标的事项若存在变动或修改，敬请及时关注“江苏政府采购网”发布的更正公告。</w:t>
      </w:r>
      <w:r/>
    </w:p>
    <w:p>
      <w:pPr>
        <w:pStyle w:val="955"/>
        <w:ind w:firstLine="480"/>
        <w:jc w:val="both"/>
        <w:keepLines w:val="0"/>
        <w:keepNext w:val="0"/>
        <w:pageBreakBefore w:val="0"/>
        <w:spacing w:before="0" w:after="0" w:line="50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color w:val="auto"/>
          <w:sz w:val="24"/>
          <w:szCs w:val="24"/>
          <w:highlight w:val="none"/>
          <w:lang w:val="en-US" w:eastAsia="zh-CN"/>
        </w:rPr>
        <w:t xml:space="preserve">4</w:t>
      </w:r>
      <w:r>
        <w:rPr>
          <w:rFonts w:hint="eastAsia" w:ascii="宋体" w:hAnsi="宋体" w:eastAsia="宋体" w:cs="宋体"/>
          <w:b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在评标结束前，各投标人授权代表应保持手机畅通，以便及时澄清答疑。</w:t>
      </w:r>
      <w:r/>
    </w:p>
    <w:p>
      <w:pPr>
        <w:ind w:firstLine="480"/>
        <w:jc w:val="both"/>
        <w:pageBreakBefore w:val="0"/>
        <w:spacing w:line="50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.如潜在投标人未按上述要求操作，将自行承担所产生的风险。</w:t>
      </w:r>
      <w:r/>
    </w:p>
    <w:p>
      <w:pPr>
        <w:pStyle w:val="955"/>
        <w:jc w:val="both"/>
        <w:pageBreakBefore w:val="0"/>
        <w:spacing w:before="0" w:after="0" w:line="500" w:lineRule="exact"/>
        <w:rPr>
          <w:rFonts w:hint="eastAsia" w:ascii="宋体" w:hAnsi="宋体" w:eastAsia="宋体" w:cs="宋体"/>
          <w:b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七、对本次招标</w:t>
      </w:r>
      <w:r>
        <w:rPr>
          <w:rFonts w:hint="eastAsia" w:ascii="宋体" w:hAnsi="宋体" w:eastAsia="宋体" w:cs="宋体"/>
          <w:b w:val="0"/>
          <w:color w:val="auto"/>
          <w:sz w:val="24"/>
          <w:szCs w:val="24"/>
          <w:highlight w:val="none"/>
        </w:rPr>
        <w:t xml:space="preserve">提出询问，请按以下方式联系。</w:t>
      </w:r>
      <w:bookmarkEnd w:id="30"/>
      <w:r/>
      <w:bookmarkEnd w:id="31"/>
      <w:r/>
      <w:bookmarkEnd w:id="32"/>
      <w:r/>
      <w:bookmarkEnd w:id="33"/>
      <w:r/>
      <w:r/>
    </w:p>
    <w:p>
      <w:pPr>
        <w:ind w:firstLine="480"/>
        <w:jc w:val="both"/>
        <w:keepLines w:val="0"/>
        <w:keepNext w:val="0"/>
        <w:pageBreakBefore w:val="0"/>
        <w:spacing w:line="50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lang w:val="en-US" w:eastAsia="zh-CN"/>
        </w:rPr>
        <w:outlineLvl w:val="9"/>
      </w:pPr>
      <w:r/>
      <w:bookmarkStart w:id="34" w:name="_Toc28359086"/>
      <w:r/>
      <w:bookmarkStart w:id="35" w:name="_Toc28359009"/>
      <w:r>
        <w:rPr>
          <w:rFonts w:hint="eastAsia" w:ascii="宋体" w:hAnsi="宋体" w:eastAsia="宋体" w:cs="宋体"/>
          <w:color w:val="auto"/>
          <w:sz w:val="24"/>
          <w:szCs w:val="24"/>
          <w:highlight w:val="none"/>
          <w:lang w:val="en-US" w:eastAsia="zh-CN"/>
        </w:rPr>
        <w:t xml:space="preserve">单位名称：泰州市民政局 泰州市慈善总会</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单位名称：泰州市海陵区鼓楼南路326号</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联系人：李先生；周女士</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联系方式：0523-86198876；0523-86998022  </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bookmarkEnd w:id="34"/>
      <w:r/>
      <w:bookmarkEnd w:id="35"/>
      <w:r/>
      <w:r/>
    </w:p>
    <w:p>
      <w:pPr>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单位名称：江苏建泰工程项目管理有限公司</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单位地址：泰州市海陵区</w:t>
      </w:r>
      <w:r>
        <w:rPr>
          <w:rFonts w:hint="eastAsia" w:ascii="宋体" w:hAnsi="宋体" w:eastAsia="宋体" w:cs="宋体"/>
          <w:color w:val="auto"/>
          <w:sz w:val="24"/>
          <w:szCs w:val="24"/>
          <w:highlight w:val="none"/>
          <w:lang w:val="en-US" w:eastAsia="zh-CN"/>
        </w:rPr>
        <w:t xml:space="preserve">凤凰东路68号建工大厦18楼1808室</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周女士</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bookmarkStart w:id="36" w:name="_Toc28359087"/>
      <w:r/>
      <w:bookmarkStart w:id="37" w:name="_Toc28359010"/>
      <w:r>
        <w:rPr>
          <w:rFonts w:hint="eastAsia" w:ascii="宋体" w:hAnsi="宋体" w:eastAsia="宋体" w:cs="宋体"/>
          <w:color w:val="auto"/>
          <w:sz w:val="24"/>
          <w:szCs w:val="24"/>
          <w:highlight w:val="none"/>
        </w:rPr>
        <w:t xml:space="preserve">0523-8</w:t>
      </w:r>
      <w:r>
        <w:rPr>
          <w:rFonts w:hint="eastAsia" w:ascii="宋体" w:hAnsi="宋体" w:eastAsia="宋体" w:cs="宋体"/>
          <w:color w:val="auto"/>
          <w:sz w:val="24"/>
          <w:szCs w:val="24"/>
          <w:highlight w:val="none"/>
          <w:lang w:val="en-US" w:eastAsia="zh-CN"/>
        </w:rPr>
        <w:t xml:space="preserve">6898015</w:t>
      </w:r>
      <w:r>
        <w:rPr>
          <w:rFonts w:hint="eastAsia" w:ascii="宋体" w:hAnsi="宋体" w:eastAsia="宋体" w:cs="宋体"/>
          <w:color w:val="auto"/>
          <w:sz w:val="24"/>
          <w:szCs w:val="24"/>
          <w:highlight w:val="none"/>
        </w:rPr>
        <w:t xml:space="preserve">　</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3.项目联系方式</w:t>
      </w:r>
      <w:bookmarkEnd w:id="36"/>
      <w:r/>
      <w:bookmarkEnd w:id="37"/>
      <w:r/>
      <w:r/>
    </w:p>
    <w:p>
      <w:pPr>
        <w:pStyle w:val="981"/>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周女士</w:t>
      </w:r>
      <w:r/>
    </w:p>
    <w:p>
      <w:pPr>
        <w:ind w:firstLine="480"/>
        <w:jc w:val="both"/>
        <w:keepLines w:val="0"/>
        <w:keepNext w:val="0"/>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　话：0523-8</w:t>
      </w:r>
      <w:r>
        <w:rPr>
          <w:rFonts w:hint="eastAsia" w:ascii="宋体" w:hAnsi="宋体" w:eastAsia="宋体" w:cs="宋体"/>
          <w:color w:val="auto"/>
          <w:sz w:val="24"/>
          <w:szCs w:val="24"/>
          <w:highlight w:val="none"/>
          <w:lang w:val="en-US" w:eastAsia="zh-CN"/>
        </w:rPr>
        <w:t xml:space="preserve">6898015</w:t>
      </w:r>
      <w:r>
        <w:rPr>
          <w:rFonts w:hint="eastAsia" w:ascii="宋体" w:hAnsi="宋体" w:eastAsia="宋体" w:cs="宋体"/>
          <w:color w:val="auto"/>
          <w:sz w:val="24"/>
          <w:szCs w:val="24"/>
          <w:highlight w:val="none"/>
        </w:rPr>
        <w:t xml:space="preserve">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5"/>
        <w:rPr>
          <w:rFonts w:hint="eastAsia"/>
        </w:rPr>
      </w:pPr>
      <w:r>
        <w:rPr>
          <w:rFonts w:hint="eastAsia"/>
        </w:rPr>
      </w:r>
      <w:r/>
    </w:p>
    <w:p>
      <w:p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b/>
          <w:color w:val="auto"/>
          <w:spacing w:val="15"/>
          <w:sz w:val="32"/>
          <w:szCs w:val="32"/>
          <w:highlight w:val="none"/>
        </w:rPr>
        <w:t xml:space="preserve">第二章 投标人须知</w:t>
      </w:r>
      <w:bookmarkEnd w:id="2"/>
      <w:r/>
      <w:bookmarkEnd w:id="3"/>
      <w:r/>
      <w:r/>
    </w:p>
    <w:p>
      <w:pPr>
        <w:ind w:right="840"/>
        <w:jc w:val="center"/>
        <w:spacing w:line="360" w:lineRule="auto"/>
        <w:widowControl/>
        <w:rPr>
          <w:rFonts w:hint="eastAsia" w:ascii="宋体" w:hAnsi="宋体" w:eastAsia="宋体" w:cs="宋体"/>
          <w:b/>
          <w:color w:val="auto"/>
          <w:szCs w:val="22"/>
          <w:highlight w:val="none"/>
        </w:rPr>
      </w:pPr>
      <w:r>
        <w:rPr>
          <w:rFonts w:hint="eastAsia" w:ascii="宋体" w:hAnsi="宋体" w:eastAsia="宋体" w:cs="宋体"/>
          <w:b/>
          <w:color w:val="auto"/>
          <w:szCs w:val="22"/>
          <w:highlight w:val="none"/>
        </w:rPr>
        <w:t xml:space="preserve">    投标人须知前附表</w:t>
      </w:r>
      <w:r/>
    </w:p>
    <w:tbl>
      <w:tblPr>
        <w:tblStyle w:val="735"/>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711"/>
        <w:gridCol w:w="7238"/>
      </w:tblGrid>
      <w:tr>
        <w:trPr>
          <w:jc w:val="center"/>
          <w:trHeight w:val="570"/>
        </w:trPr>
        <w:tc>
          <w:tcPr>
            <w:tcW w:w="71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711"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23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内容</w:t>
            </w:r>
            <w:r/>
          </w:p>
        </w:tc>
      </w:tr>
      <w:tr>
        <w:trPr>
          <w:jc w:val="center"/>
          <w:trHeight w:val="551"/>
        </w:trPr>
        <w:tc>
          <w:tcPr>
            <w:tcW w:w="7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牵手夕阳老年人意外伤害保险</w:t>
            </w:r>
            <w:r/>
          </w:p>
        </w:tc>
      </w:tr>
      <w:tr>
        <w:trPr>
          <w:jc w:val="center"/>
          <w:trHeight w:val="1976"/>
        </w:trPr>
        <w:tc>
          <w:tcPr>
            <w:tcW w:w="7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招标内容</w:t>
            </w:r>
            <w:r/>
          </w:p>
        </w:tc>
        <w:tc>
          <w:tcPr>
            <w:tcW w:w="7238" w:type="dxa"/>
            <w:vAlign w:val="center"/>
            <w:textDirection w:val="lrTb"/>
            <w:noWrap w:val="false"/>
          </w:tcPr>
          <w:p>
            <w:pPr>
              <w:jc w:val="both"/>
              <w:pageBreakBefore w:val="0"/>
              <w:spacing w:line="5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适用人群：1.</w:t>
            </w:r>
            <w:r>
              <w:rPr>
                <w:rFonts w:hint="eastAsia" w:ascii="宋体" w:hAnsi="宋体" w:eastAsia="宋体" w:cs="宋体"/>
                <w:color w:val="auto"/>
                <w:sz w:val="24"/>
                <w:szCs w:val="24"/>
                <w:highlight w:val="none"/>
              </w:rPr>
              <w:t xml:space="preserve">具有泰州市户籍，出险时已满60周岁及以上的且经泰州各市（区）民政局认定的低收入人口，包括最低生活保障对象、特困供养人员、低保边缘家庭和支出型困难家庭四类人群。</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具有泰州市户籍，出险时已满80周岁及以上的人群（除泰州各市（区）民政局认定的低收入人口）。</w:t>
            </w:r>
            <w:r/>
          </w:p>
          <w:p>
            <w:pPr>
              <w:jc w:val="both"/>
              <w:pageBreakBefore w:val="0"/>
              <w:spacing w:line="500" w:lineRule="exact"/>
              <w:rPr>
                <w:rFonts w:hint="eastAsia" w:ascii="宋体" w:hAnsi="宋体" w:eastAsia="宋体" w:cs="宋体"/>
                <w:color w:val="auto"/>
                <w:szCs w:val="21"/>
                <w:highlight w:val="none"/>
              </w:rPr>
              <w:outlineLvl w:val="9"/>
            </w:pPr>
            <w:r>
              <w:rPr>
                <w:rFonts w:hint="eastAsia" w:ascii="宋体" w:hAnsi="宋体" w:eastAsia="宋体" w:cs="宋体"/>
                <w:color w:val="auto"/>
                <w:sz w:val="24"/>
                <w:szCs w:val="24"/>
                <w:highlight w:val="none"/>
              </w:rPr>
              <w:t xml:space="preserve">采购险种：意外伤害伤残保险、意外伤害医疗保险、意外伤害住院津贴保险、特定区域意外伤害身故保险。</w:t>
            </w:r>
            <w:r/>
          </w:p>
        </w:tc>
      </w:tr>
      <w:tr>
        <w:trPr>
          <w:jc w:val="center"/>
          <w:trHeight w:val="848"/>
        </w:trPr>
        <w:tc>
          <w:tcPr>
            <w:tcW w:w="7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rPr>
              <w:t xml:space="preserve">。</w:t>
            </w:r>
            <w:r/>
          </w:p>
        </w:tc>
      </w:tr>
      <w:tr>
        <w:trPr>
          <w:jc w:val="center"/>
          <w:trHeight w:val="784"/>
        </w:trPr>
        <w:tc>
          <w:tcPr>
            <w:tcW w:w="71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合格投标人资格要求</w:t>
            </w:r>
            <w:r/>
          </w:p>
        </w:tc>
        <w:tc>
          <w:tcPr>
            <w:tcW w:w="7238" w:type="dxa"/>
            <w:vAlign w:val="center"/>
            <w:textDirection w:val="lrTb"/>
            <w:noWrap w:val="false"/>
          </w:tcPr>
          <w:p>
            <w:pPr>
              <w:ind w:right="0"/>
              <w:jc w:val="both"/>
              <w:keepLines w:val="0"/>
              <w:keepNext w:val="0"/>
              <w:pageBreakBefore w:val="0"/>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详见招标公告</w:t>
            </w:r>
            <w:r/>
          </w:p>
        </w:tc>
      </w:tr>
      <w:tr>
        <w:trPr>
          <w:jc w:val="center"/>
          <w:trHeight w:val="765"/>
        </w:trPr>
        <w:tc>
          <w:tcPr>
            <w:tcW w:w="71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联合体投标</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不接受，招标文件中有关联合体的规定均不适用。</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接受 </w:t>
            </w:r>
            <w:r/>
          </w:p>
        </w:tc>
      </w:tr>
      <w:tr>
        <w:trPr>
          <w:jc w:val="center"/>
          <w:trHeight w:val="1385"/>
        </w:trPr>
        <w:tc>
          <w:tcPr>
            <w:tcW w:w="71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现场考察</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不组织，自行考察；如投标人需自行考察,费用自理。</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□组织，考察时间： /年/月/日/时</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集合地点：/</w:t>
            </w:r>
            <w:r/>
          </w:p>
          <w:p>
            <w:pPr>
              <w:ind w:right="0" w:firstLine="975"/>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tc>
      </w:tr>
      <w:tr>
        <w:trPr>
          <w:jc w:val="center"/>
          <w:trHeight w:val="993"/>
        </w:trPr>
        <w:tc>
          <w:tcPr>
            <w:tcW w:w="71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投标答疑会</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不召开</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口召开，召开时间：年月日时</w:t>
            </w:r>
            <w:r/>
          </w:p>
          <w:p>
            <w:pPr>
              <w:ind w:right="0" w:firstLine="975"/>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召开地点：/</w:t>
            </w:r>
            <w:r/>
          </w:p>
        </w:tc>
      </w:tr>
      <w:tr>
        <w:trPr>
          <w:jc w:val="center"/>
          <w:trHeight w:val="506"/>
        </w:trPr>
        <w:tc>
          <w:tcPr>
            <w:tcW w:w="71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投标货币</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r>
      <w:tr>
        <w:trPr>
          <w:jc w:val="center"/>
          <w:trHeight w:val="655"/>
        </w:trPr>
        <w:tc>
          <w:tcPr>
            <w:tcW w:w="71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投标保证金</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依据苏财购〔2020〕52号文件精神，本项目免收投标保证金。</w:t>
            </w:r>
            <w:r/>
          </w:p>
        </w:tc>
      </w:tr>
      <w:tr>
        <w:trPr>
          <w:jc w:val="center"/>
          <w:trHeight w:val="644"/>
        </w:trPr>
        <w:tc>
          <w:tcPr>
            <w:tcW w:w="718" w:type="dxa"/>
            <w:vAlign w:val="center"/>
            <w:textDirection w:val="lrTb"/>
            <w:noWrap w:val="false"/>
          </w:tcPr>
          <w:p>
            <w:pPr>
              <w:jc w:val="center"/>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10</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投标文件有效期</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rPr>
              <w:t xml:space="preserve">0 </w:t>
            </w:r>
            <w:r>
              <w:rPr>
                <w:rFonts w:hint="eastAsia" w:ascii="宋体" w:hAnsi="宋体" w:eastAsia="宋体" w:cs="宋体"/>
                <w:color w:val="auto"/>
                <w:sz w:val="24"/>
                <w:szCs w:val="24"/>
                <w:highlight w:val="none"/>
              </w:rPr>
              <w:t xml:space="preserve">日历天（从投标截止之日算起）</w:t>
            </w:r>
            <w:r/>
          </w:p>
        </w:tc>
      </w:tr>
      <w:tr>
        <w:trPr>
          <w:cantSplit/>
          <w:jc w:val="center"/>
          <w:trHeight w:val="665"/>
        </w:trPr>
        <w:tc>
          <w:tcPr>
            <w:tcW w:w="718" w:type="dxa"/>
            <w:vAlign w:val="center"/>
            <w:vMerge w:val="restart"/>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投标截止时间</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2025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12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29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tc>
      </w:tr>
      <w:tr>
        <w:trPr>
          <w:cantSplit/>
          <w:jc w:val="center"/>
          <w:trHeight w:val="644"/>
        </w:trPr>
        <w:tc>
          <w:tcPr>
            <w:tcW w:w="718"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投标地点</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752"/>
        </w:trPr>
        <w:tc>
          <w:tcPr>
            <w:tcW w:w="718"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开标时间和地点</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w:t>
            </w:r>
            <w:r>
              <w:rPr>
                <w:rFonts w:hint="eastAsia" w:ascii="宋体" w:hAnsi="宋体" w:eastAsia="宋体" w:cs="宋体"/>
                <w:b/>
                <w:bCs/>
                <w:color w:val="auto"/>
                <w:sz w:val="24"/>
                <w:szCs w:val="24"/>
                <w:highlight w:val="none"/>
                <w:u w:val="single"/>
              </w:rPr>
              <w:t xml:space="preserve">2025 </w:t>
            </w:r>
            <w:r>
              <w:rPr>
                <w:rFonts w:hint="eastAsia" w:ascii="宋体" w:hAnsi="宋体" w:eastAsia="宋体" w:cs="宋体"/>
                <w:b/>
                <w:bCs/>
                <w:color w:val="auto"/>
                <w:sz w:val="24"/>
                <w:szCs w:val="24"/>
                <w:highlight w:val="none"/>
              </w:rPr>
              <w:t xml:space="preserve">年</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12  </w:t>
            </w:r>
            <w:r>
              <w:rPr>
                <w:rFonts w:hint="eastAsia" w:ascii="宋体" w:hAnsi="宋体" w:eastAsia="宋体" w:cs="宋体"/>
                <w:b/>
                <w:bCs/>
                <w:color w:val="auto"/>
                <w:sz w:val="24"/>
                <w:szCs w:val="24"/>
                <w:highlight w:val="none"/>
              </w:rPr>
              <w:t xml:space="preserve">月</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 xml:space="preserve"> 29</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日</w:t>
            </w:r>
            <w:r>
              <w:rPr>
                <w:rFonts w:hint="eastAsia" w:ascii="宋体" w:hAnsi="宋体" w:eastAsia="宋体" w:cs="宋体"/>
                <w:b/>
                <w:bCs/>
                <w:color w:val="auto"/>
                <w:sz w:val="24"/>
                <w:szCs w:val="24"/>
                <w:highlight w:val="none"/>
                <w:u w:val="single"/>
              </w:rPr>
              <w:t xml:space="preserve"> 9 </w:t>
            </w:r>
            <w:r>
              <w:rPr>
                <w:rFonts w:hint="eastAsia" w:ascii="宋体" w:hAnsi="宋体" w:eastAsia="宋体" w:cs="宋体"/>
                <w:b/>
                <w:bCs/>
                <w:color w:val="auto"/>
                <w:sz w:val="24"/>
                <w:szCs w:val="24"/>
                <w:highlight w:val="none"/>
              </w:rPr>
              <w:t xml:space="preserve">时</w:t>
            </w:r>
            <w:r>
              <w:rPr>
                <w:rFonts w:hint="eastAsia" w:ascii="宋体" w:hAnsi="宋体" w:eastAsia="宋体" w:cs="宋体"/>
                <w:b/>
                <w:bCs/>
                <w:color w:val="auto"/>
                <w:sz w:val="24"/>
                <w:szCs w:val="24"/>
                <w:highlight w:val="none"/>
                <w:u w:val="single"/>
              </w:rPr>
              <w:t xml:space="preserve"> 00 </w:t>
            </w:r>
            <w:r>
              <w:rPr>
                <w:rFonts w:hint="eastAsia" w:ascii="宋体" w:hAnsi="宋体" w:eastAsia="宋体" w:cs="宋体"/>
                <w:b/>
                <w:bCs/>
                <w:color w:val="auto"/>
                <w:sz w:val="24"/>
                <w:szCs w:val="24"/>
                <w:highlight w:val="none"/>
              </w:rPr>
              <w:t xml:space="preserve">分</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地点：江苏政府采购“苏采云”系统不见面开标大厅 </w:t>
            </w:r>
            <w:r/>
          </w:p>
        </w:tc>
      </w:tr>
      <w:tr>
        <w:trPr>
          <w:jc w:val="center"/>
          <w:trHeight w:val="817"/>
        </w:trPr>
        <w:tc>
          <w:tcPr>
            <w:tcW w:w="7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综合评分法</w:t>
            </w:r>
            <w:r/>
          </w:p>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□最低评标价法  </w:t>
            </w:r>
            <w:r/>
          </w:p>
        </w:tc>
      </w:tr>
      <w:tr>
        <w:trPr>
          <w:jc w:val="center"/>
          <w:trHeight w:val="663"/>
        </w:trPr>
        <w:tc>
          <w:tcPr>
            <w:tcW w:w="7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定标办法</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采购人根据评标委员会推荐的中标候选投标人顺序确定中标人。</w:t>
            </w:r>
            <w:r/>
          </w:p>
        </w:tc>
      </w:tr>
      <w:tr>
        <w:trPr>
          <w:jc w:val="center"/>
          <w:trHeight w:val="665"/>
        </w:trPr>
        <w:tc>
          <w:tcPr>
            <w:tcW w:w="7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tc>
        <w:tc>
          <w:tcPr>
            <w:tcW w:w="7238" w:type="dxa"/>
            <w:vAlign w:val="center"/>
            <w:textDirection w:val="lrTb"/>
            <w:noWrap w:val="false"/>
          </w:tcPr>
          <w:p>
            <w:pPr>
              <w:pStyle w:val="967"/>
              <w:ind w:right="0" w:firstLine="0"/>
              <w:jc w:val="both"/>
              <w:keepLines w:val="0"/>
              <w:keepNext w:val="0"/>
              <w:pageBreakBefore w:val="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 xml:space="preserve">无</w:t>
            </w:r>
            <w:r/>
          </w:p>
        </w:tc>
      </w:tr>
      <w:tr>
        <w:trPr>
          <w:jc w:val="center"/>
          <w:trHeight w:val="882"/>
        </w:trPr>
        <w:tc>
          <w:tcPr>
            <w:tcW w:w="7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签订合同</w:t>
            </w:r>
            <w:r/>
          </w:p>
        </w:tc>
        <w:tc>
          <w:tcPr>
            <w:tcW w:w="7238" w:type="dxa"/>
            <w:vAlign w:val="center"/>
            <w:textDirection w:val="lrTb"/>
            <w:noWrap w:val="false"/>
          </w:tcPr>
          <w:p>
            <w:pPr>
              <w:ind w:right="0"/>
              <w:jc w:val="both"/>
              <w:keepLines w:val="0"/>
              <w:keepNext w:val="0"/>
              <w:pageBreakBefore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中标通知书发出之日起</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日内</w:t>
            </w:r>
            <w:r/>
          </w:p>
          <w:p>
            <w:pPr>
              <w:ind w:right="0"/>
              <w:jc w:val="both"/>
              <w:keepLines w:val="0"/>
              <w:keepNext w:val="0"/>
              <w:pageBreakBefore w:val="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签订合同地点：</w:t>
            </w:r>
            <w:r>
              <w:rPr>
                <w:rFonts w:hint="eastAsia" w:ascii="宋体" w:hAnsi="宋体" w:eastAsia="宋体" w:cs="宋体"/>
                <w:color w:val="auto"/>
                <w:sz w:val="24"/>
                <w:szCs w:val="24"/>
                <w:highlight w:val="none"/>
                <w:lang w:val="en-US" w:eastAsia="zh-CN"/>
              </w:rPr>
              <w:t xml:space="preserve">采购人指定地点</w:t>
            </w:r>
            <w:r/>
          </w:p>
        </w:tc>
      </w:tr>
      <w:tr>
        <w:trPr>
          <w:jc w:val="center"/>
          <w:trHeight w:val="692"/>
        </w:trPr>
        <w:tc>
          <w:tcPr>
            <w:tcW w:w="71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付款方式</w:t>
            </w:r>
            <w:r/>
          </w:p>
        </w:tc>
        <w:tc>
          <w:tcPr>
            <w:tcW w:w="7238" w:type="dxa"/>
            <w:vAlign w:val="center"/>
            <w:textDirection w:val="lrTb"/>
            <w:noWrap w:val="false"/>
          </w:tcPr>
          <w:p>
            <w:pPr>
              <w:pStyle w:val="967"/>
              <w:ind w:right="0" w:firstLine="0"/>
              <w:jc w:val="both"/>
              <w:keepLines w:val="0"/>
              <w:keepNext w:val="0"/>
              <w:pageBreakBefore w:val="0"/>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详见采购协议</w:t>
            </w:r>
            <w:r/>
          </w:p>
        </w:tc>
      </w:tr>
      <w:tr>
        <w:trPr>
          <w:jc w:val="center"/>
          <w:trHeight w:val="1059"/>
        </w:trPr>
        <w:tc>
          <w:tcPr>
            <w:tcW w:w="718"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0</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中标服务费</w:t>
            </w:r>
            <w:r/>
          </w:p>
        </w:tc>
        <w:tc>
          <w:tcPr>
            <w:tcW w:w="7238" w:type="dxa"/>
            <w:vAlign w:val="center"/>
            <w:textDirection w:val="lrTb"/>
            <w:noWrap w:val="false"/>
          </w:tcPr>
          <w:p>
            <w:pPr>
              <w:pStyle w:val="967"/>
              <w:ind w:left="0" w:right="0" w:firstLine="0"/>
              <w:jc w:val="both"/>
              <w:keepLines w:val="0"/>
              <w:keepNext w:val="0"/>
              <w:pageBreakBefore w:val="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rPr>
              <w:t xml:space="preserve">招标代理费</w:t>
            </w:r>
            <w:r>
              <w:rPr>
                <w:rFonts w:hint="eastAsia" w:ascii="宋体" w:hAnsi="宋体" w:eastAsia="宋体" w:cs="宋体"/>
                <w:color w:val="auto"/>
                <w:szCs w:val="24"/>
                <w:highlight w:val="none"/>
                <w:lang w:val="en-US" w:eastAsia="zh-CN"/>
              </w:rPr>
              <w:t xml:space="preserve">共计壹万伍仟元整</w:t>
            </w:r>
            <w:r>
              <w:rPr>
                <w:rFonts w:hint="eastAsia" w:ascii="宋体" w:hAnsi="宋体" w:eastAsia="宋体" w:cs="宋体"/>
                <w:color w:val="auto"/>
                <w:szCs w:val="24"/>
                <w:highlight w:val="none"/>
              </w:rPr>
              <w:t xml:space="preserve">，由</w:t>
            </w:r>
            <w:r>
              <w:rPr>
                <w:rFonts w:hint="eastAsia" w:ascii="宋体" w:hAnsi="宋体" w:eastAsia="宋体" w:cs="宋体"/>
                <w:color w:val="auto"/>
                <w:szCs w:val="24"/>
                <w:highlight w:val="none"/>
                <w:lang w:val="en-US" w:eastAsia="zh-CN"/>
              </w:rPr>
              <w:t xml:space="preserve">中标</w:t>
            </w:r>
            <w:r>
              <w:rPr>
                <w:rFonts w:hint="eastAsia" w:ascii="宋体" w:hAnsi="宋体" w:eastAsia="宋体" w:cs="宋体"/>
                <w:color w:val="auto"/>
                <w:szCs w:val="24"/>
                <w:highlight w:val="none"/>
              </w:rPr>
              <w:t xml:space="preserve">供应商考虑在本次投标报价中，在</w:t>
            </w:r>
            <w:r>
              <w:rPr>
                <w:rFonts w:hint="eastAsia" w:ascii="宋体" w:hAnsi="宋体" w:eastAsia="宋体" w:cs="宋体"/>
                <w:color w:val="auto"/>
                <w:szCs w:val="24"/>
                <w:highlight w:val="none"/>
                <w:lang w:val="en-US" w:eastAsia="zh-CN"/>
              </w:rPr>
              <w:t xml:space="preserve">中标</w:t>
            </w:r>
            <w:r>
              <w:rPr>
                <w:rFonts w:hint="eastAsia" w:ascii="宋体" w:hAnsi="宋体" w:eastAsia="宋体" w:cs="宋体"/>
                <w:color w:val="auto"/>
                <w:szCs w:val="24"/>
                <w:highlight w:val="none"/>
              </w:rPr>
              <w:t xml:space="preserve">后领取</w:t>
            </w:r>
            <w:r>
              <w:rPr>
                <w:rFonts w:hint="eastAsia" w:ascii="宋体" w:hAnsi="宋体" w:eastAsia="宋体" w:cs="宋体"/>
                <w:color w:val="auto"/>
                <w:szCs w:val="24"/>
                <w:highlight w:val="none"/>
                <w:lang w:val="en-US" w:eastAsia="zh-CN"/>
              </w:rPr>
              <w:t xml:space="preserve">中标</w:t>
            </w:r>
            <w:r>
              <w:rPr>
                <w:rFonts w:hint="eastAsia" w:ascii="宋体" w:hAnsi="宋体" w:eastAsia="宋体" w:cs="宋体"/>
                <w:color w:val="auto"/>
                <w:szCs w:val="24"/>
                <w:highlight w:val="none"/>
              </w:rPr>
              <w:t xml:space="preserve">通知书前支付给</w:t>
            </w:r>
            <w:r>
              <w:rPr>
                <w:rFonts w:hint="eastAsia" w:ascii="宋体" w:hAnsi="宋体" w:eastAsia="宋体" w:cs="宋体"/>
                <w:color w:val="auto"/>
                <w:szCs w:val="24"/>
                <w:highlight w:val="none"/>
                <w:lang w:val="en-US" w:eastAsia="zh-CN"/>
              </w:rPr>
              <w:t xml:space="preserve">招标</w:t>
            </w:r>
            <w:r>
              <w:rPr>
                <w:rFonts w:hint="eastAsia" w:ascii="宋体" w:hAnsi="宋体" w:eastAsia="宋体" w:cs="宋体"/>
                <w:color w:val="auto"/>
                <w:szCs w:val="24"/>
                <w:highlight w:val="none"/>
              </w:rPr>
              <w:t xml:space="preserve">代理机构。</w:t>
            </w:r>
            <w:r/>
          </w:p>
        </w:tc>
      </w:tr>
      <w:tr>
        <w:trPr>
          <w:jc w:val="center"/>
          <w:trHeight w:val="746"/>
        </w:trPr>
        <w:tc>
          <w:tcPr>
            <w:tcW w:w="71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w:t>
            </w:r>
            <w:r/>
          </w:p>
        </w:tc>
        <w:tc>
          <w:tcPr>
            <w:tcW w:w="171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r/>
          </w:p>
        </w:tc>
        <w:tc>
          <w:tcPr>
            <w:tcW w:w="7238" w:type="dxa"/>
            <w:vAlign w:val="center"/>
            <w:textDirection w:val="lrTb"/>
            <w:noWrap w:val="false"/>
          </w:tcPr>
          <w:p>
            <w:pPr>
              <w:pStyle w:val="967"/>
              <w:ind w:left="0" w:right="0" w:firstLine="0"/>
              <w:jc w:val="both"/>
              <w:keepLines w:val="0"/>
              <w:keepNext w:val="0"/>
              <w:pageBreakBefore w:val="0"/>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解释：本文件的解释权属于采购人（或代理机构）。</w:t>
            </w:r>
            <w:r/>
          </w:p>
        </w:tc>
      </w:tr>
    </w:tbl>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一、说明和释义</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1.说明  </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1.1本招标文件仅适用于</w:t>
      </w:r>
      <w:r>
        <w:rPr>
          <w:rFonts w:hint="eastAsia" w:ascii="宋体" w:hAnsi="宋体" w:eastAsia="宋体" w:cs="宋体"/>
          <w:color w:val="auto"/>
          <w:szCs w:val="24"/>
          <w:highlight w:val="none"/>
          <w:u w:val="none"/>
        </w:rPr>
        <w:t xml:space="preserve">江苏</w:t>
      </w:r>
      <w:r>
        <w:rPr>
          <w:rFonts w:hint="eastAsia" w:ascii="宋体" w:hAnsi="宋体" w:eastAsia="宋体" w:cs="宋体"/>
          <w:color w:val="auto"/>
          <w:szCs w:val="24"/>
          <w:highlight w:val="none"/>
          <w:u w:val="none"/>
          <w:lang w:val="en-US" w:eastAsia="zh-CN"/>
        </w:rPr>
        <w:t xml:space="preserve">建泰工程项目管理</w:t>
      </w:r>
      <w:r>
        <w:rPr>
          <w:rFonts w:hint="eastAsia" w:ascii="宋体" w:hAnsi="宋体" w:eastAsia="宋体" w:cs="宋体"/>
          <w:color w:val="auto"/>
          <w:szCs w:val="24"/>
          <w:highlight w:val="none"/>
          <w:u w:val="none"/>
        </w:rPr>
        <w:t xml:space="preserve">有限公司</w:t>
      </w:r>
      <w:r>
        <w:rPr>
          <w:rFonts w:hint="eastAsia" w:ascii="宋体" w:hAnsi="宋体" w:eastAsia="宋体" w:cs="宋体"/>
          <w:color w:val="auto"/>
          <w:szCs w:val="24"/>
          <w:highlight w:val="none"/>
        </w:rPr>
        <w:t xml:space="preserve">组织的招标活动。</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1.2本次招标活动及因本次招标产生的合同受中国法律制约和保护。</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1.3本招标文件的解释权属于采购人（或代理机构）。</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2.词语释义</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2.1采购人：指依法进行采购的国家机关、事业单位、团体组织。</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lang w:eastAsia="zh-CN"/>
        </w:rPr>
        <w:outlineLvl w:val="9"/>
      </w:pPr>
      <w:r>
        <w:rPr>
          <w:rFonts w:hint="eastAsia" w:ascii="宋体" w:hAnsi="宋体" w:eastAsia="宋体" w:cs="宋体"/>
          <w:color w:val="auto"/>
          <w:szCs w:val="24"/>
          <w:highlight w:val="none"/>
        </w:rPr>
        <w:t xml:space="preserve">2.2供应商、投标人：指向采购人提供货物、工程或服务的法人、其他组织或者自然人。根据《中华人民共和国政府采购法实施条例》释义，银行、保险、石油石化、电力、电信等有行业特殊情况的，取得营业执照的分支机构可以分公司名义参与投标，</w:t>
      </w:r>
      <w:r>
        <w:rPr>
          <w:rFonts w:hint="eastAsia" w:ascii="宋体" w:hAnsi="宋体" w:eastAsia="宋体" w:cs="宋体"/>
          <w:color w:val="auto"/>
          <w:szCs w:val="24"/>
          <w:highlight w:val="none"/>
          <w:lang w:val="en-US" w:eastAsia="zh-CN"/>
        </w:rPr>
        <w:t xml:space="preserve">招标</w:t>
      </w:r>
      <w:r>
        <w:rPr>
          <w:rFonts w:hint="eastAsia" w:ascii="宋体" w:hAnsi="宋体" w:eastAsia="宋体" w:cs="宋体"/>
          <w:color w:val="auto"/>
          <w:szCs w:val="24"/>
          <w:highlight w:val="none"/>
        </w:rPr>
        <w:t xml:space="preserve">文件中涉及的“法定代表人/单位负责人”在前述特殊行业中即对应为“分支机构（单位）负责人”</w:t>
      </w:r>
      <w:r>
        <w:rPr>
          <w:rFonts w:hint="eastAsia" w:ascii="宋体" w:hAnsi="宋体" w:eastAsia="宋体" w:cs="宋体"/>
          <w:color w:val="auto"/>
          <w:szCs w:val="24"/>
          <w:highlight w:val="none"/>
          <w:lang w:eastAsia="zh-CN"/>
        </w:rPr>
        <w:t xml:space="preserve">。</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2.3采购代理机构：指依法接受采购人委托，从事货物、工程和服务等采购招标代理业务的社会中介机构。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2.4招标采购单位：采购人及采购代理机构的统称。</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2.6响应：投标人根据采购人或采购代理机构发售的招标文件，编制投标文件并按规定投标的行为。</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2.7知识产权：指专利权、商标权、著作权等无形财产专有权的统称。</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2.8天：日历天。</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2.9服务地点：合同中明确约定的乙方履行服务的最终地点。</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2.10不可抗力：不能预见、不能避免并且不能克服的客观情况。</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2.11实质性响应：满足有关本次采购标的、数量、质量、价款或者报酬、履行期限、履行地点和方式、违约责任和解决争议方法等要求。</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2.12书面形式：指书面文字、合同书、信件等可以有形地表现所载内容的形式。</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二、投标人</w:t>
      </w:r>
      <w:r/>
    </w:p>
    <w:p>
      <w:pPr>
        <w:numPr>
          <w:ilvl w:val="0"/>
          <w:numId w:val="0"/>
        </w:numPr>
        <w:ind w:left="0" w:firstLine="0"/>
        <w:jc w:val="both"/>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合格投标人资格要求</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3.1详见投标人须知前附表规定。</w:t>
      </w:r>
      <w:r/>
    </w:p>
    <w:p>
      <w:pPr>
        <w:ind w:left="0"/>
        <w:jc w:val="both"/>
        <w:keepLines w:val="0"/>
        <w:keepNext w:val="0"/>
        <w:pageBreakBefore w:val="0"/>
        <w:spacing w:line="520" w:lineRule="exact"/>
        <w:rPr>
          <w:rFonts w:hint="eastAsia" w:ascii="宋体" w:hAnsi="宋体" w:eastAsia="宋体" w:cs="宋体"/>
          <w:bCs/>
          <w:color w:val="auto"/>
          <w:sz w:val="24"/>
          <w:szCs w:val="24"/>
          <w:highlight w:val="none"/>
        </w:rPr>
        <w:outlineLvl w:val="9"/>
      </w:pPr>
      <w:r>
        <w:rPr>
          <w:rFonts w:hint="eastAsia" w:ascii="宋体" w:hAnsi="宋体" w:eastAsia="宋体" w:cs="宋体"/>
          <w:b/>
          <w:bCs w:val="0"/>
          <w:color w:val="auto"/>
          <w:sz w:val="24"/>
          <w:szCs w:val="24"/>
          <w:highlight w:val="none"/>
        </w:rPr>
        <w:t xml:space="preserve">4.投标人应在江苏政府采购“苏采云”系统（http://jszfcg.jsczt.cn/下同）下载招标文件及有关资料，按招标文件要求提交全部资料并对招标文件各项内容做出实质性响应。</w:t>
      </w:r>
      <w:r/>
    </w:p>
    <w:p>
      <w:pPr>
        <w:numPr>
          <w:ilvl w:val="0"/>
          <w:numId w:val="0"/>
        </w:num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投标人代表</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5.1指全权代表投标人参加投标活动并签署投标文件的人，如果投标人代表不是法人代表，须持有《法人代表授权委托书》（详见统一格式）。</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6.接受联合体投标。</w:t>
      </w:r>
      <w:r/>
    </w:p>
    <w:p>
      <w:pPr>
        <w:ind w:left="0"/>
        <w:jc w:val="both"/>
        <w:keepLines w:val="0"/>
        <w:keepNext w:val="0"/>
        <w:pageBreakBefore w:val="0"/>
        <w:spacing w:line="520" w:lineRule="exact"/>
        <w:widowControl/>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7.投标人有下列情形之一的不能参加本次投标：</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（1）因重大经济问题正在接受国家有关部门审查的；</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）因腐败和欺诈行为而被有关部门处理的。</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）被责令停业的； </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）被暂停或取消投标资格的； </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）财产被接管或冻结的；</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）在投标过程中弄虚作假、行贿或有其他违法违规行为的；</w:t>
      </w:r>
      <w:r/>
    </w:p>
    <w:p>
      <w:pPr>
        <w:ind w:left="0" w:firstLine="480"/>
        <w:jc w:val="both"/>
        <w:keepLines w:val="0"/>
        <w:keepNext w:val="0"/>
        <w:pageBreakBefore w:val="0"/>
        <w:spacing w:line="520" w:lineRule="exact"/>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）违反法律法规相关规定的。</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三、招标文件说明</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8</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招标文件</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作出实质性响应，其风险由投标人自行承担，并根据有关条款规定，该投标有可能被拒绝。</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9.现场考察 </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9.1投标人应按</w:t>
      </w:r>
      <w:r>
        <w:rPr>
          <w:rFonts w:hint="eastAsia" w:ascii="宋体" w:hAnsi="宋体" w:eastAsia="宋体" w:cs="宋体"/>
          <w:bCs/>
          <w:color w:val="auto"/>
          <w:sz w:val="24"/>
          <w:szCs w:val="24"/>
          <w:highlight w:val="none"/>
        </w:rPr>
        <w:t xml:space="preserve">招标文件中所述时间</w:t>
      </w:r>
      <w:r>
        <w:rPr>
          <w:rFonts w:hint="eastAsia" w:ascii="宋体" w:hAnsi="宋体" w:eastAsia="宋体" w:cs="宋体"/>
          <w:color w:val="auto"/>
          <w:sz w:val="24"/>
          <w:szCs w:val="24"/>
          <w:highlight w:val="none"/>
        </w:rPr>
        <w:t xml:space="preserve">对有关现场和周围环境进行考察，以获取编制投标文件和签署合同所需的信息。考察现场所发生的费用由投标人自己承担。</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9.3经招标采购单位允许，投标人可为考察目的进入招标采购单位的项目现场，但投标人不得因此使招标采购单位承担有关的责任和蒙受损失。投标人应承担考察现场的责任和风险。</w:t>
      </w:r>
      <w:r/>
    </w:p>
    <w:p>
      <w:pPr>
        <w:ind w:left="0" w:firstLine="480"/>
        <w:jc w:val="both"/>
        <w:keepLines w:val="0"/>
        <w:keepNext w:val="0"/>
        <w:pageBreakBefore w:val="0"/>
        <w:spacing w:line="52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9.4投标人应在现场考察时，熟悉现场及周围交通道路等情况，以获得一切可能影响其投标的直接资料。投标人中标后，不得以不完全了解现场情况为理由而向招标采购单位提出任何索赔的要求，对此招标采购单位不承担任何责任并将不做任何答复与考虑。</w:t>
      </w:r>
      <w:r/>
    </w:p>
    <w:p>
      <w:pPr>
        <w:ind w:left="0"/>
        <w:jc w:val="both"/>
        <w:keepLines w:val="0"/>
        <w:keepNext w:val="0"/>
        <w:pageBreakBefore w:val="0"/>
        <w:spacing w:line="52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招标文件的澄清和修改</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10.1投标人在购买招标文件后，若有问题需要询问和澄清，应于前附表规定的时间提出。</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10.2如需召开投标答疑会的，招标采购单位将按前附表规定的时间、地点召开招标答疑会。</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10.3迟于前附表规定时间的询问和提交的疑问，采购人和采购代理机构有权拒绝回答，也不承担由此带来的对投标人投标结果的影响。</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10.5为使投标人有足够的时间按招标文件的修改要求考虑修正投标文件，或出于其他原因，招标采购单位有权推迟投标截止日期和开标日期，将此变更通知所有招标文件的收受人。</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10.6招标文件的更正（含澄清、修改等）内容与原招标文件在同一内容上表述不一致时，以发出日期最接近开标时间的公告为准。</w:t>
      </w:r>
      <w:r/>
    </w:p>
    <w:p>
      <w:pPr>
        <w:ind w:left="0" w:firstLine="480"/>
        <w:jc w:val="both"/>
        <w:keepLines w:val="0"/>
        <w:keepNext w:val="0"/>
        <w:pageBreakBefore w:val="0"/>
        <w:spacing w:line="520" w:lineRule="exact"/>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10.7招标文件的更正（含澄清、修改等）内容将作为招标文件的组成部分，对投标人起约束作用。</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四、投标文件说明</w:t>
      </w:r>
      <w:r/>
    </w:p>
    <w:p>
      <w:pPr>
        <w:ind w:left="0"/>
        <w:jc w:val="both"/>
        <w:keepLines w:val="0"/>
        <w:keepNext w:val="0"/>
        <w:pageBreakBefore w:val="0"/>
        <w:spacing w:line="52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11</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投标文件计量单位和使用文字</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11.1投标文件中所使用的计量单位，除招标文件中有特殊要求外，均应使用中华人民共和国法定计量单位。</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对投标人不利的后果，招标采购单位概不负责。</w:t>
      </w:r>
      <w:r/>
    </w:p>
    <w:p>
      <w:pPr>
        <w:pStyle w:val="981"/>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11.3投标人应当同时凭CA数字证书登录“江苏政府采购“苏采云”系统”，并在投标截止时间前上传电子投标文件。</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w:t>
      </w:r>
      <w:bookmarkStart w:id="38" w:name="_Toc217446047"/>
      <w:r>
        <w:rPr>
          <w:rFonts w:hint="eastAsia" w:ascii="宋体" w:hAnsi="宋体" w:eastAsia="宋体" w:cs="宋体"/>
          <w:b/>
          <w:color w:val="auto"/>
          <w:sz w:val="24"/>
          <w:szCs w:val="24"/>
          <w:highlight w:val="none"/>
        </w:rPr>
        <w:t xml:space="preserve">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知识产权</w:t>
      </w:r>
      <w:bookmarkEnd w:id="38"/>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12.1投标人应保证在本项目使用的任何产品（包括部分使用）时，不会产生因第三方提出侵犯其专利权、商标权或其他知识产权而引起的法律和经济纠纷，如因专利权、商标权或其他知识产权而引起法律和经济纠纷，由投标人承担所有相关责任。</w:t>
      </w:r>
      <w:r/>
    </w:p>
    <w:p>
      <w:pPr>
        <w:ind w:left="0"/>
        <w:jc w:val="both"/>
        <w:keepLines w:val="0"/>
        <w:keepNext w:val="0"/>
        <w:pageBreakBefore w:val="0"/>
        <w:spacing w:line="520" w:lineRule="exact"/>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13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投标文件的组成</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联合体投标的，以下（</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）条联合体各方均需提供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16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条联合体各方需共同签署；其他由联合体牵头单位提供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pStyle w:val="1076"/>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）具有独立承担民事责任的能力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法人或其他组织的营业执照或相关部门的登记证明文件扫描件； </w:t>
      </w:r>
      <w:r/>
    </w:p>
    <w:p>
      <w:pPr>
        <w:pStyle w:val="1076"/>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）具有良好的商业信誉和健全的财务会计制度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提供投标人</w:t>
      </w:r>
      <w:r>
        <w:rPr>
          <w:rFonts w:hint="eastAsia" w:ascii="宋体" w:hAnsi="宋体" w:eastAsia="宋体" w:cs="宋体"/>
          <w:color w:val="auto"/>
          <w:sz w:val="24"/>
          <w:szCs w:val="24"/>
          <w:highlight w:val="none"/>
        </w:rPr>
        <w:t xml:space="preserve">近</w:t>
      </w: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个月中任意一个月份（不含</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文件递交当月）的财务状况报告（资产负债表和利润表）或由会计师事务所出具的近两年中任意一个年度的审计报告复印件；其他组织、自然人及成立未满一年的法人应提供银行出具的资信证明；</w:t>
      </w:r>
      <w:r/>
    </w:p>
    <w:p>
      <w:pPr>
        <w:pStyle w:val="1076"/>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）有依法缴纳税收和社会保障资金的良好记录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val="en-US" w:eastAsia="zh-CN"/>
        </w:rPr>
        <w:t xml:space="preserve">投标人近六</w:t>
      </w:r>
      <w:r>
        <w:rPr>
          <w:rFonts w:hint="eastAsia" w:ascii="宋体" w:hAnsi="宋体" w:eastAsia="宋体" w:cs="宋体"/>
          <w:color w:val="auto"/>
          <w:sz w:val="24"/>
          <w:szCs w:val="24"/>
          <w:highlight w:val="none"/>
        </w:rPr>
        <w:t xml:space="preserve">个月中任意一个月份（不含</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文件递交当月）依法缴纳税收及缴纳社会保障资金的证明材料。</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供应商依法享受缓缴、免缴税收、社会保障资金的提供证明材料；</w:t>
      </w:r>
      <w:r/>
    </w:p>
    <w:p>
      <w:pPr>
        <w:pStyle w:val="1076"/>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）具备履行合同所必需的设备和专业技术能力的书面声明（格式自拟）；</w:t>
      </w:r>
      <w:r/>
    </w:p>
    <w:p>
      <w:pPr>
        <w:pStyle w:val="1076"/>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）参加政府采购活动前3年内在经营活动中没有重大违法记录的书面声明（格式见附件）；</w:t>
      </w:r>
      <w:r/>
    </w:p>
    <w:p>
      <w:pPr>
        <w:pStyle w:val="1076"/>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）采购人要求的特定资质证明（详见“采购公告”－“本项目特定资格要求”中要求）。</w:t>
      </w:r>
      <w:r/>
    </w:p>
    <w:p>
      <w:pPr>
        <w:numPr>
          <w:ilvl w:val="0"/>
          <w:numId w:val="0"/>
        </w:numPr>
        <w:ind w:left="0" w:firstLine="480"/>
        <w:jc w:val="both"/>
        <w:keepLines w:val="0"/>
        <w:keepNext w:val="0"/>
        <w:pageBreakBefore w:val="0"/>
        <w:spacing w:line="520" w:lineRule="exact"/>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中小企业声明函或残疾人福利性单位声明函或监狱企业证明文件（如有）</w:t>
      </w:r>
      <w:r/>
    </w:p>
    <w:p>
      <w:pPr>
        <w:pStyle w:val="1076"/>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投标函（格式见附件）</w:t>
      </w:r>
      <w:r/>
    </w:p>
    <w:p>
      <w:pPr>
        <w:pStyle w:val="1076"/>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）关于资格的声明函（格式见附件）</w:t>
      </w:r>
      <w:r/>
    </w:p>
    <w:p>
      <w:pPr>
        <w:pStyle w:val="1076"/>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开标一览表（格式见附件）</w:t>
      </w:r>
      <w:r/>
    </w:p>
    <w:p>
      <w:pPr>
        <w:pStyle w:val="1076"/>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投标人法定代表人</w:t>
      </w:r>
      <w:r>
        <w:rPr>
          <w:rFonts w:hint="eastAsia" w:ascii="宋体" w:hAnsi="宋体" w:eastAsia="宋体" w:cs="宋体"/>
          <w:color w:val="auto"/>
          <w:sz w:val="24"/>
          <w:szCs w:val="24"/>
          <w:highlight w:val="none"/>
          <w:lang w:val="en-US" w:eastAsia="zh-CN"/>
        </w:rPr>
        <w:t xml:space="preserve">或单位负责人</w:t>
      </w:r>
      <w:r>
        <w:rPr>
          <w:rFonts w:hint="eastAsia" w:ascii="宋体" w:hAnsi="宋体" w:eastAsia="宋体" w:cs="宋体"/>
          <w:color w:val="auto"/>
          <w:sz w:val="24"/>
          <w:szCs w:val="24"/>
          <w:highlight w:val="none"/>
        </w:rPr>
        <w:t xml:space="preserve">授权委托书（格式见附件，法定代表人</w:t>
      </w:r>
      <w:r>
        <w:rPr>
          <w:rFonts w:hint="eastAsia" w:ascii="宋体" w:hAnsi="宋体" w:eastAsia="宋体" w:cs="宋体"/>
          <w:color w:val="auto"/>
          <w:sz w:val="24"/>
          <w:szCs w:val="24"/>
          <w:highlight w:val="none"/>
          <w:lang w:val="en-US" w:eastAsia="zh-CN"/>
        </w:rPr>
        <w:t xml:space="preserve">或单位负责人</w:t>
      </w:r>
      <w:r>
        <w:rPr>
          <w:rFonts w:hint="eastAsia" w:ascii="宋体" w:hAnsi="宋体" w:eastAsia="宋体" w:cs="宋体"/>
          <w:color w:val="auto"/>
          <w:sz w:val="24"/>
          <w:szCs w:val="24"/>
          <w:highlight w:val="none"/>
        </w:rPr>
        <w:t xml:space="preserve">亲自参加投标的提供法定代表人</w:t>
      </w:r>
      <w:r>
        <w:rPr>
          <w:rFonts w:hint="eastAsia" w:ascii="宋体" w:hAnsi="宋体" w:eastAsia="宋体" w:cs="宋体"/>
          <w:color w:val="auto"/>
          <w:sz w:val="24"/>
          <w:szCs w:val="24"/>
          <w:highlight w:val="none"/>
          <w:lang w:val="en-US" w:eastAsia="zh-CN"/>
        </w:rPr>
        <w:t xml:space="preserve">或单位负责人</w:t>
      </w:r>
      <w:r>
        <w:rPr>
          <w:rFonts w:hint="eastAsia" w:ascii="宋体" w:hAnsi="宋体" w:eastAsia="宋体" w:cs="宋体"/>
          <w:color w:val="auto"/>
          <w:sz w:val="24"/>
          <w:szCs w:val="24"/>
          <w:highlight w:val="none"/>
        </w:rPr>
        <w:t xml:space="preserve">身份证扫描件）、投标人法定代表人</w:t>
      </w:r>
      <w:r>
        <w:rPr>
          <w:rFonts w:hint="eastAsia" w:ascii="宋体" w:hAnsi="宋体" w:eastAsia="宋体" w:cs="宋体"/>
          <w:color w:val="auto"/>
          <w:sz w:val="24"/>
          <w:szCs w:val="24"/>
          <w:highlight w:val="none"/>
          <w:lang w:val="en-US" w:eastAsia="zh-CN"/>
        </w:rPr>
        <w:t xml:space="preserve">或单位负责人</w:t>
      </w:r>
      <w:r>
        <w:rPr>
          <w:rFonts w:hint="eastAsia" w:ascii="宋体" w:hAnsi="宋体" w:eastAsia="宋体" w:cs="宋体"/>
          <w:color w:val="auto"/>
          <w:sz w:val="24"/>
          <w:szCs w:val="24"/>
          <w:highlight w:val="none"/>
        </w:rPr>
        <w:t xml:space="preserve">授权代表身份证扫描件（法定代表人</w:t>
      </w:r>
      <w:r>
        <w:rPr>
          <w:rFonts w:hint="eastAsia" w:ascii="宋体" w:hAnsi="宋体" w:eastAsia="宋体" w:cs="宋体"/>
          <w:color w:val="auto"/>
          <w:sz w:val="24"/>
          <w:szCs w:val="24"/>
          <w:highlight w:val="none"/>
          <w:lang w:val="en-US" w:eastAsia="zh-CN"/>
        </w:rPr>
        <w:t xml:space="preserve">或单位负责人</w:t>
      </w:r>
      <w:r>
        <w:rPr>
          <w:rFonts w:hint="eastAsia" w:ascii="宋体" w:hAnsi="宋体" w:eastAsia="宋体" w:cs="宋体"/>
          <w:color w:val="auto"/>
          <w:sz w:val="24"/>
          <w:szCs w:val="24"/>
          <w:highlight w:val="none"/>
        </w:rPr>
        <w:t xml:space="preserve">亲自参加投标的除外）</w:t>
      </w:r>
      <w:r/>
    </w:p>
    <w:p>
      <w:pPr>
        <w:pStyle w:val="1076"/>
        <w:numPr>
          <w:ilvl w:val="1"/>
          <w:numId w:val="0"/>
        </w:numPr>
        <w:ind w:left="0" w:firstLine="480"/>
        <w:jc w:val="both"/>
        <w:keepLines w:val="0"/>
        <w:keepNext w:val="0"/>
        <w:pageBreakBefore w:val="0"/>
        <w:spacing w:line="520" w:lineRule="exact"/>
        <w:widowControl w:val="off"/>
        <w:tabs>
          <w:tab w:val="left" w:pos="1276"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承诺书（格式见附件）</w:t>
      </w:r>
      <w:r/>
    </w:p>
    <w:p>
      <w:pPr>
        <w:numPr>
          <w:ilvl w:val="0"/>
          <w:numId w:val="0"/>
        </w:numPr>
        <w:ind w:left="0" w:firstLine="480"/>
        <w:jc w:val="both"/>
        <w:keepLines w:val="0"/>
        <w:keepNext w:val="0"/>
        <w:pageBreakBefore w:val="0"/>
        <w:spacing w:line="520" w:lineRule="exact"/>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商务</w:t>
      </w:r>
      <w:r>
        <w:rPr>
          <w:rFonts w:hint="eastAsia" w:ascii="宋体" w:hAnsi="宋体" w:eastAsia="宋体" w:cs="宋体"/>
          <w:color w:val="auto"/>
          <w:sz w:val="24"/>
          <w:szCs w:val="24"/>
          <w:highlight w:val="none"/>
          <w:lang w:val="en-US" w:eastAsia="zh-CN"/>
        </w:rPr>
        <w:t xml:space="preserve">和技术</w:t>
      </w:r>
      <w:r>
        <w:rPr>
          <w:rFonts w:hint="eastAsia" w:ascii="宋体" w:hAnsi="宋体" w:eastAsia="宋体" w:cs="宋体"/>
          <w:color w:val="auto"/>
          <w:sz w:val="24"/>
          <w:szCs w:val="24"/>
          <w:highlight w:val="none"/>
        </w:rPr>
        <w:t xml:space="preserve">偏离表（格式见附件）</w:t>
      </w:r>
      <w:r/>
    </w:p>
    <w:p>
      <w:pPr>
        <w:numPr>
          <w:ilvl w:val="0"/>
          <w:numId w:val="0"/>
        </w:numPr>
        <w:ind w:left="0" w:firstLine="480"/>
        <w:jc w:val="both"/>
        <w:keepLines w:val="0"/>
        <w:keepNext w:val="0"/>
        <w:pageBreakBefore w:val="0"/>
        <w:spacing w:line="520" w:lineRule="exact"/>
        <w:widowControl w:val="off"/>
        <w:tabs>
          <w:tab w:val="left" w:pos="525" w:leader="none"/>
          <w:tab w:val="left" w:pos="945" w:leader="none"/>
        </w:tabs>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（14）联合体协议书（如有，联合体投标的必须提供）</w:t>
      </w:r>
      <w:r/>
    </w:p>
    <w:p>
      <w:pPr>
        <w:numPr>
          <w:ilvl w:val="0"/>
          <w:numId w:val="0"/>
        </w:numPr>
        <w:ind w:left="0" w:firstLine="480"/>
        <w:jc w:val="both"/>
        <w:keepLines w:val="0"/>
        <w:keepNext w:val="0"/>
        <w:pageBreakBefore w:val="0"/>
        <w:spacing w:line="520" w:lineRule="exact"/>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评分标准中对应的其他所需证明材料（如有自行添加）</w:t>
      </w:r>
      <w:r/>
    </w:p>
    <w:p>
      <w:pPr>
        <w:numPr>
          <w:ilvl w:val="0"/>
          <w:numId w:val="0"/>
        </w:numPr>
        <w:ind w:left="0" w:firstLine="480"/>
        <w:jc w:val="both"/>
        <w:keepLines w:val="0"/>
        <w:keepNext w:val="0"/>
        <w:pageBreakBefore w:val="0"/>
        <w:spacing w:line="520" w:lineRule="exact"/>
        <w:widowControl w:val="off"/>
        <w:tabs>
          <w:tab w:val="left" w:pos="525" w:leader="none"/>
          <w:tab w:val="left" w:pos="945"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其他（投标人认为有必要提供的声明和文件，如有自拟并自行添加）</w:t>
      </w:r>
      <w:r/>
    </w:p>
    <w:p>
      <w:pPr>
        <w:ind w:left="0" w:firstLine="480"/>
        <w:jc w:val="both"/>
        <w:keepLines w:val="0"/>
        <w:keepNext w:val="0"/>
        <w:pageBreakBefore w:val="0"/>
        <w:spacing w:line="520" w:lineRule="exact"/>
        <w:widowControl w:val="off"/>
        <w:tabs>
          <w:tab w:val="left" w:pos="2850" w:leader="none"/>
          <w:tab w:val="center" w:pos="4153" w:leader="none"/>
        </w:tabs>
        <w:rPr>
          <w:rFonts w:hint="eastAsia" w:ascii="宋体" w:hAnsi="宋体" w:eastAsia="宋体" w:cs="宋体"/>
          <w:b/>
          <w:color w:val="auto"/>
          <w:sz w:val="24"/>
          <w:highlight w:val="none"/>
          <w:u w:val="single"/>
        </w:rPr>
        <w:outlineLvl w:val="9"/>
      </w:pPr>
      <w:r>
        <w:rPr>
          <w:rFonts w:hint="eastAsia" w:ascii="宋体" w:hAnsi="宋体" w:eastAsia="宋体" w:cs="宋体"/>
          <w:color w:val="auto"/>
          <w:sz w:val="24"/>
          <w:szCs w:val="24"/>
          <w:highlight w:val="none"/>
        </w:rPr>
        <w:t xml:space="preserve">上述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项投标人必须按要求全部提供，否则投标文件无效。如上述资格证明文件遇年检、换证，则必须提供法定年检、换证单位出具的有效证明扫描件。如上述资格证明文件第（</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项遇有国家相关政策规定可不具备的，必须提供相关政策规定或相关单位出具的有效证明扫描件。投标人法定代表人或法定代表人授权代表为外籍、港、澳、台地区人士的，其身份证明须提供有效的护照或港澳同胞来往内地通行证、台湾同胞来往大陆通行证，或其他可在中国大陆有效居留的许可证明。</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14</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投标文件编制及递交要求</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14.1所有文件、往来函件均应使用简体中文（规格、型号辅助符号例外）。</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14.3如无特别说明，投标人报价一律以人民币为投标结算货币，结算单位为“元”。</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14.4投标文件不应有涂改、增删和潦草之处，如有必须修改时，修改处必须有投标人盖章、法定代表人或法定代表人授权代表的签字。</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14.5投标费用自理。</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14.6投标人应当同时凭CA数字证书登录“江苏政府采购“苏采云”系统”，并在投标截止时间前上传电子投标文件。</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15</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投标报价（编制）要求的说明</w:t>
      </w:r>
      <w:r/>
    </w:p>
    <w:p>
      <w:pPr>
        <w:pStyle w:val="967"/>
        <w:ind w:left="0" w:firstLine="480"/>
        <w:jc w:val="both"/>
        <w:keepLines w:val="0"/>
        <w:keepNext w:val="0"/>
        <w:pageBreakBefore w:val="0"/>
        <w:spacing w:line="520" w:lineRule="exact"/>
        <w:widowControl w:val="off"/>
        <w:rPr>
          <w:rFonts w:hint="eastAsia" w:ascii="宋体" w:hAnsi="宋体" w:eastAsia="宋体" w:cs="宋体"/>
          <w:b/>
          <w:bCs/>
          <w:color w:val="auto"/>
          <w:szCs w:val="24"/>
          <w:highlight w:val="none"/>
        </w:rPr>
        <w:outlineLvl w:val="9"/>
      </w:pPr>
      <w:r>
        <w:rPr>
          <w:rFonts w:hint="eastAsia" w:ascii="宋体" w:hAnsi="宋体" w:eastAsia="宋体" w:cs="宋体"/>
          <w:color w:val="auto"/>
          <w:szCs w:val="24"/>
          <w:highlight w:val="none"/>
        </w:rPr>
        <w:t xml:space="preserve">15.1投标人对《开标一览表》中的全部服务的报价应包括在本项目合同期内所需要的全部费用，包括但不限于所需要的人工费、材料费、施工机具使用费、</w:t>
      </w:r>
      <w:r>
        <w:rPr>
          <w:rFonts w:hint="eastAsia" w:ascii="宋体" w:hAnsi="宋体" w:eastAsia="宋体" w:cs="宋体"/>
          <w:color w:val="auto"/>
          <w:szCs w:val="24"/>
          <w:highlight w:val="none"/>
          <w:lang w:val="en-US" w:eastAsia="zh-CN"/>
        </w:rPr>
        <w:t xml:space="preserve">各项</w:t>
      </w:r>
      <w:r>
        <w:rPr>
          <w:rFonts w:hint="eastAsia" w:ascii="宋体" w:hAnsi="宋体" w:eastAsia="宋体" w:cs="宋体"/>
          <w:color w:val="auto"/>
          <w:szCs w:val="24"/>
          <w:highlight w:val="none"/>
        </w:rPr>
        <w:t xml:space="preserve">保险费</w:t>
      </w:r>
      <w:r>
        <w:rPr>
          <w:rFonts w:hint="eastAsia" w:ascii="宋体" w:hAnsi="宋体" w:eastAsia="宋体" w:cs="宋体"/>
          <w:iCs/>
          <w:color w:val="auto"/>
          <w:sz w:val="24"/>
          <w:szCs w:val="24"/>
          <w:highlight w:val="none"/>
          <w:lang w:val="en-US" w:eastAsia="zh-CN"/>
        </w:rPr>
        <w:t xml:space="preserve">（含人员意外保险）</w:t>
      </w:r>
      <w:r>
        <w:rPr>
          <w:rFonts w:hint="eastAsia" w:ascii="宋体" w:hAnsi="宋体" w:eastAsia="宋体" w:cs="宋体"/>
          <w:color w:val="auto"/>
          <w:szCs w:val="24"/>
          <w:highlight w:val="none"/>
        </w:rPr>
        <w:t xml:space="preserve">、运输费、管理费、利润、措施项目费（含单价措施项目费和总价措施项目费）、其他项目费、规费、税金、有关文件规定的政策性调价等以及各种可能发生的风险费用以及招标文件约定的其他等各项费用。</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投标人要认真阅读清单，慎重报价。采购人不再支付报价以外的任何费用。</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15.2投标人应对招标文件内所要采购的全部内容进行报价，只投其中部分内容者，其标书将被拒绝。</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15.3一项投标内容只允许一个报价，招标采购单位不接受任何有选择性的投标报价。</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15.4投标文件报价中的单价和总价全部采用人民币表示，除非合同的特殊条款另有规定。</w:t>
      </w:r>
      <w:r/>
    </w:p>
    <w:p>
      <w:pPr>
        <w:numPr>
          <w:ilvl w:val="0"/>
          <w:numId w:val="0"/>
        </w:num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16.投标保证金</w:t>
      </w:r>
      <w:r/>
    </w:p>
    <w:p>
      <w:pPr>
        <w:pStyle w:val="956"/>
        <w:ind w:left="0" w:firstLine="480"/>
        <w:jc w:val="both"/>
        <w:keepLines w:val="0"/>
        <w:keepNext w:val="0"/>
        <w:pageBreakBefore w:val="0"/>
        <w:spacing w:before="0" w:after="0" w:line="520" w:lineRule="exact"/>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依据苏财购〔2020〕52号文件精神，本项目免收投标保证金。 </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17</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投标文件的有效期</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18</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投标文件的拒收</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采购人拒绝接收在其规定的投标截止时间后上传的任何投标文件。</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五、投标文件的递交</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19.投标文件的递交</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19.1电子投标文件的递交</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20</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投标截止日期</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20.1投标人上传电子投标文件的时间不得迟于招标公告中规定的投标截止时间。投标人应充分考虑网络环境、网络带宽等风险因素，如因投标人自身原因造成的电子投标文件上传不成功由投标人自行承担全部责任。</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投标文件的修改和撤回</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21.1投标文件的撤回</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21.2 投标文件的修改</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21.3在投标截止时间之后，投标人不得对其电子投标文件作任何修改。</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六、开标和评标</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开标</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22.2开标仪式由采购代理机构组织。“江苏政府采购“苏采云”系统”将自动对项目进行开标，并宣读各投标人的《开标一览表》。</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投标人在开标过程中涉及的投标文件解密、开标结果确认等工作，应按照《江苏省政府采购管理交易系统（苏采云）供应商操作手册及政府采购客户端》规定执行。投标人在苏采云系统规定时间内未解密，超时视同解密失败，视为放弃投标。</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22.5开标时，投标文件中开标一览表内容与投标文件中明细表内容不一致的，以开标一览表为准。</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0" w:firstLine="480"/>
        <w:jc w:val="both"/>
        <w:keepLines w:val="0"/>
        <w:keepNext w:val="0"/>
        <w:pageBreakBefore w:val="0"/>
        <w:spacing w:line="520" w:lineRule="exact"/>
        <w:widowControl w:val="off"/>
        <w:tabs>
          <w:tab w:val="center" w:pos="4479"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22.6投标人未参加开标的，视同认可开标结果。</w:t>
      </w:r>
      <w:r/>
    </w:p>
    <w:p>
      <w:pPr>
        <w:ind w:left="0"/>
        <w:jc w:val="both"/>
        <w:keepLines w:val="0"/>
        <w:keepNext w:val="0"/>
        <w:pageBreakBefore w:val="0"/>
        <w:spacing w:line="520" w:lineRule="exact"/>
        <w:tabs>
          <w:tab w:val="center" w:pos="4479" w:leader="none"/>
        </w:tabs>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23</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评标委员会</w:t>
      </w:r>
      <w:r>
        <w:rPr>
          <w:rFonts w:hint="eastAsia" w:ascii="宋体" w:hAnsi="宋体" w:eastAsia="宋体" w:cs="宋体"/>
          <w:b/>
          <w:color w:val="auto"/>
          <w:sz w:val="24"/>
          <w:szCs w:val="24"/>
          <w:highlight w:val="none"/>
        </w:rPr>
        <w:tab/>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23.1评标委员会由招标采购单位依法组建，负责本项目的评标事务。</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23.2评标委员会应当独立履行下列职责：</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23.2.1审查投标文件是否符合招标文件的要求，并作出评价；</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23.2.2可以要求投标供应商对投标文件有关事项作出解释或澄清；</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23.2.3推荐中标候选供应商名单，或者受采购人委托按照事先确定的办法直接确定中标供应商；</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23.2.4向招标采购单位或者有关部门报告非法干预评标工作的行为。</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23.3评标委员会成员应当履行下列义务：</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23.3.1遵纪守法，客观、公正、廉洁地履行职责；</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23.3.2按照招标文件规定的评标办法和评标标准进行评标，对评审意见承担个人责任；</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23.3.3对评标过程和结果，以及投标人的商业秘密保密；</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23.3.4参与评标报告的起草；</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23.3.5配合相关部门的投诉处理工作；</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23.3.6配合招标采购单位答复投标供应商提出的质疑。</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24</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评标内容的保密</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24.2在投标文件的审查、澄清、评价和比较以及授予合同的过程中，投标人对招标采购单位和评标委员会成员施加影响的任何行为，都将取消其投标资格。</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24.3在评标期间，招标采购单位将通过指定联络人与投标人进行联系。</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25.对投标文件进行初审</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25.1投标文件初审分为资格性检查和符合性检查。</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25.1.1资格性检查。依据法律法规和招标文件的规定，对投标文件中的资格证明、投标保证金等进行审查，以确定投标供应商是否具备投标资格。</w:t>
      </w:r>
      <w:r/>
    </w:p>
    <w:p>
      <w:pPr>
        <w:ind w:left="0" w:firstLine="480"/>
        <w:jc w:val="both"/>
        <w:keepLines w:val="0"/>
        <w:keepNext w:val="0"/>
        <w:pageBreakBefore w:val="0"/>
        <w:spacing w:line="520" w:lineRule="exact"/>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left="0" w:firstLine="482"/>
        <w:jc w:val="both"/>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投标人有下列情况之一的，投标文件无效：</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1）投标人未在规定时间内成功解密电子投标文件的；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2）投标人未按照招标文件要求上传电子投标文件的；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3）投标文件未按照招标文件要求加盖电子签章或签署的；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4）投标人的法定代表人授权代表，无法定代表人授权委托书的；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5）不具备招标文件中规定的资格要求或未按招标文件规定的要求提供资格、资信证明文件的；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6）被“信用中国”网站（www.creditchina.gov.cn）列入失信被执行人、重大税收违法案件当事人名单、政府采购严重违法失信行为记录名单的；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7）投标文件未按招标文件规定的内容和要求填写的；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8）投标文件中有招标文件未允许提供的选择性内容的；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9）不同投标人的投标文件由同一单位或者个人编制的；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w:t>
      </w:r>
      <w:bookmarkStart w:id="39" w:name="_Hlk193034237"/>
      <w:r>
        <w:rPr>
          <w:rFonts w:hint="eastAsia" w:ascii="宋体" w:hAnsi="宋体" w:eastAsia="宋体" w:cs="宋体"/>
          <w:color w:val="auto"/>
          <w:sz w:val="24"/>
          <w:szCs w:val="24"/>
          <w:highlight w:val="none"/>
        </w:rPr>
        <w:t xml:space="preserve">不同投标人委托同一单位或者个人办理投标事宜的（包含使用同一MAC地址的计算机提交或者解密电子</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文件的情形）；</w:t>
      </w:r>
      <w:bookmarkEnd w:id="39"/>
      <w:r/>
      <w:bookmarkStart w:id="40" w:name="OLE_LINK8"/>
      <w:r/>
      <w:bookmarkEnd w:id="40"/>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w:t>
      </w:r>
      <w:bookmarkStart w:id="41" w:name="OLE_LINK10"/>
      <w:r>
        <w:rPr>
          <w:rFonts w:hint="eastAsia" w:ascii="宋体" w:hAnsi="宋体" w:eastAsia="宋体" w:cs="宋体"/>
          <w:color w:val="auto"/>
          <w:sz w:val="24"/>
          <w:szCs w:val="24"/>
          <w:highlight w:val="none"/>
        </w:rPr>
        <w:t xml:space="preserve">不同的投标人</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文件制作的MAC地址一致的；</w:t>
      </w:r>
      <w:bookmarkEnd w:id="41"/>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12）不同投标人的投标文件载明的项目管理成员或者联系人员为同一人的；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13）不同投标人的投标文件异常一致或者投标报价呈规律性差异的；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14）不同投标人的单位负责人为同一人或者存在直接控股、管理关系的；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15）项目（标段）投标总价或单价超过本项目（标段）预算金额或最高限价的；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16）不同投标人的履约保证金从同一单位或者个人账户转出的、购买履约保证保险单的费用从同一单位转出或由同一个人账户支付的；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17）投标文件含有采购人不能接受的附加条件的；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18）评标委员会认定投标人的报价明显低于其他通过符合性审查的投标人的报价，有可能影响产品质量或者不能诚信履约，且投标人不能应评标委员会要求在合理的时间内提供书面说明（必要时评标委员会可要求投标人提交相关证明材料）证明其报价合理性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19）除单一来源采购项目外，为采购项目提供整体设计、规范编制或者项目管理、监理、检测等服务的；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20）投标文件内容不全或不符合招标文件中规定的其他实质性要求的；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21）改变招标文件中规定的应急措施处置费的；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）提供虚假材料的；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）法律、法规和招标文件规定的其他无效情形。</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left="0" w:firstLine="480"/>
        <w:jc w:val="both"/>
        <w:keepLines w:val="0"/>
        <w:keepNext w:val="0"/>
        <w:pageBreakBefore w:val="0"/>
        <w:spacing w:line="520" w:lineRule="exact"/>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25.5招标采购单位对投标文件的判定，只依据投标内容本身，不依靠开标后的任何外来证明。</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25.6招标采购单位将拒绝被确定为非实质性响应的投标，投标人不能通过修正或撤销不符之处而使其投标成为实质性响应的投标。</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26.投标文件的澄清</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26.1对投标文件中含义不明确</w:t>
      </w:r>
      <w:r>
        <w:rPr>
          <w:rFonts w:hint="eastAsia" w:ascii="宋体" w:hAnsi="宋体" w:eastAsia="宋体" w:cs="宋体"/>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作出澄清，其风险由投标人自行承担。</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27.废标</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27.1 在招标采购中，出现下列情形之一的，应予废标：</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符合专业条件的投标人或者对招标文件作出实质性响应的投标人不足三家；</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出现影响采购公正的违法、违规行为；</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投标人的报价均超过采购预算，采购人不能支付的；</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因重大变故，采购任务取消；</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因“江苏政府采购“苏采云”系统”系统重大故障原因无法继续开评标的。</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28</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投标文件的评价和比较</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28.1评标委员会按招标文件规定的评标方法和标准，对符合性检查合格的投标文件进行商务和技术评估，综合比较与评价。</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28.2最低的投标报价或最高的折扣比例是中标的重要条件，但不是唯一条件。</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29.质疑处理</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29.1 提出质疑的投标人应当是参与所质疑项目采购活动的供应商。潜在供应商依法获取其可质疑的采购文件的，可以对采购文件提出质疑。</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29.2.1对可以质疑的采购文件提出质疑的，为收到采购文件之日或者采购文件公告期限届满之日；</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29.2.2对采购过程提出质疑的，为各采购程序环节结束之日；</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29.2.3对中标结果提出质疑的，为中标结果公告期限届满之日。</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29.3质疑函必须按照本招标文件中《质疑函范本》要求的格式和内容进行填写。供应商如组成联合体参加投标，在《质疑函范本》中要求签字、盖章、加盖公章之处，联合体各方均须按要求签字、盖章、加盖公章。</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29.4采购人及采购代理机构只接受以纸质原件形式送达的质疑。质疑接收人及联系方式见招标文件第一章。</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29.5 以下情形的质疑不予受理</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29.5.1内容不符合《政府采购质疑和投诉办法》第十二条规定的质疑。</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29.5.2超出政府采购法定期限的质疑。</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29.5.3以传真、电子邮件等方式递交的非原件形式的质疑。</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29.5.4未参加投标活动的供应商或在投标活动中自身权益未受到损害的供应商所提出的质疑。</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29.5.5供应商组成联合体参加投标，联合体中任何一方或多方未按要求签字、盖章、加盖公章的质疑。</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七、授予合同</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30</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中标人的确认</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30.1评标委员会按招标文件规定的评标方法和标准进行详细评审后，按招标采购单位的委托向招标采购单位推荐中标候选单位或根据采购人授权直接确定中标供应商。</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30.2中标无效的确认：</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（1）提供虚假材料谋取中标的；</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（2）采取不正当手段诋毁、排挤其他投标人的；</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（3）与招标采购单位、其他投标人恶意串通的；</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（4）向招标采购单位行贿或者提供其他不正当利益的；</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（6）拒绝有关部门监督检查或者提供虚假情况的。</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30.3经评标委员</w:t>
      </w:r>
      <w:r>
        <w:rPr>
          <w:rFonts w:hint="eastAsia" w:ascii="宋体" w:hAnsi="宋体" w:eastAsia="宋体" w:cs="宋体"/>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由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31</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合同授予标准</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31.1招标采购单位将把合同授予其投标文件在实质上响应招标文件要求且综合评分得分最高的投标人。</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32</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中标通知书</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32.1确定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32.2中标通知书将成为合同的组成部分。</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32.3招标采购单位对未中标供应商不承担解释未中标原因的义务。</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33.履约保证金</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33.1中标人应按规定提交履约保证金。</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33.2中标人必须在合同签订前按规定向采购人缴纳履约保证金。中标人未按招标文件要求提交履约保证金的，采购人可取消其中标资格。</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33.3履约保证金（无息）将在合同期结束且经双方验收合格后，采购人凭中标人的收款收据在七个工作日内无息退还给中标单位。</w:t>
      </w:r>
      <w:r/>
    </w:p>
    <w:p>
      <w:pPr>
        <w:ind w:left="0" w:firstLine="480"/>
        <w:jc w:val="both"/>
        <w:keepLines w:val="0"/>
        <w:keepNext w:val="0"/>
        <w:pageBreakBefore w:val="0"/>
        <w:spacing w:line="520" w:lineRule="exact"/>
        <w:widowControl w:val="off"/>
        <w:tabs>
          <w:tab w:val="left" w:pos="90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33.3履约保证金用以约束供应商在合同履行中的行为，弥补合同执行中由于自身行为可能给采购人带来的各种损失。</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34</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合同的签订</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34.1中标人应按中标通知书中规定的时间和地点，由法定代表人或委托代理人与采购人代表签订合同。</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34.2签订合同及合同条款应以招标文件和中标人的投标文件及其澄清文件为依据。</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35.政府采购政策</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35.1小、微型企业：根据财政部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业和信息化部关于印发《政府采购促进中小企业发展管理办法》的通知（财库〔2020〕46号）的相关规定及江苏省财政厅《江苏省财政厅关于进一步加大政府采购支持中小企业力度的通知》（苏财购〔2022〕45号）执行。如供应商认定本企业为小型、微型企业，则需根据《中小企业划型标准规定》（工信部联企业〔2011〕300号）提交《中小企业声明函》并加盖公章，</w:t>
      </w:r>
      <w:bookmarkStart w:id="42" w:name="OLE_LINK3"/>
      <w:r>
        <w:rPr>
          <w:rFonts w:hint="eastAsia" w:ascii="宋体" w:hAnsi="宋体" w:eastAsia="宋体" w:cs="宋体"/>
          <w:color w:val="auto"/>
          <w:sz w:val="24"/>
          <w:szCs w:val="24"/>
          <w:highlight w:val="none"/>
        </w:rPr>
        <w:t xml:space="preserve">未按要求填写</w:t>
      </w:r>
      <w:bookmarkEnd w:id="42"/>
      <w:r>
        <w:rPr>
          <w:rFonts w:hint="eastAsia" w:ascii="宋体" w:hAnsi="宋体" w:eastAsia="宋体" w:cs="宋体"/>
          <w:color w:val="auto"/>
          <w:sz w:val="24"/>
          <w:szCs w:val="24"/>
          <w:highlight w:val="none"/>
        </w:rPr>
        <w:t xml:space="preserve">或未提交则不享受相关小微企业价格扣除政策。</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35.2残疾人福利性单位：根据《三部门联合发布关于促进残疾人就业政府采购政策的通知》（财库〔2017〕141号）的相关规定执行。如供应商为残疾人福利性单位，则视同小型企业，享受评审中价格扣除政策。残疾人福利性单位属于小型、微型企业的，不重复享受政策。如供应商认定本企业为残疾人福利性单位，应提交《残疾人福利性单位声明函》并加盖公章，未按要求填写或未提交则不享受相关价格扣除政策。</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35.3监狱企业：根据《财政部司法部关于政府采购支持监狱企业发展有关问题的通知》（财库〔2014〕68号）的相关规定执行。如供应商为监狱企业，应当提供由省级以上监狱管理局、戒毒管理局（含新疆生产建设兵团）出具的属于监狱企业的证明文件，则视同小型企业，享受评审中价格扣除政策，未按要求填写或未提交则不享受相关价格扣除政策。监狱企业属于小型、微型企业的，不重复享受政策。</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35.4绿色采购：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35.5根据《商品包装政府采购需求标准（试行）》《快递包装政府采购需求标准（试行）》的通知（财办库〔2020〕123号要求，商品使用的塑料、纸质、木材等包装需达到环保要求。</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35.6根据泰财购〔2023〕33号文市财政局国家金融监督管理总局泰州监管分局市地方金融监督管理局关于转发《江苏省财政厅国家金融监督管理总局江苏监管局江苏省地方金融监督管理局关于在全省政府采购领域推行电子履约保函（保险）的通知》，履约保证金（如有）接收电子履约保函（保险）。</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35.7若供应商提供的《中小企业声明函》、《残疾人福利性单位声明函》及监狱企业认定证明等材料为虚假材料，按《中华人民共和国政府采购法》相关规定处理并报请政府采购监管部门给予行政处罚。</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35.8未按要求提供相关材料的，不享受相关政策。</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highlight w:val="none"/>
        </w:rPr>
        <w:outlineLvl w:val="9"/>
      </w:pPr>
      <w:r>
        <w:rPr>
          <w:rFonts w:hint="eastAsia" w:ascii="宋体" w:hAnsi="宋体" w:eastAsia="宋体" w:cs="宋体"/>
          <w:color w:val="auto"/>
          <w:szCs w:val="24"/>
          <w:highlight w:val="none"/>
        </w:rPr>
        <w:t xml:space="preserve">35.9本项目所属行业为</w:t>
      </w:r>
      <w:r>
        <w:rPr>
          <w:rFonts w:hint="eastAsia" w:ascii="宋体" w:hAnsi="宋体" w:eastAsia="宋体" w:cs="宋体"/>
          <w:color w:val="auto"/>
          <w:szCs w:val="24"/>
          <w:highlight w:val="none"/>
          <w:u w:val="single"/>
        </w:rPr>
        <w:t xml:space="preserve">其他未列明行业</w:t>
      </w:r>
      <w:r>
        <w:rPr>
          <w:rFonts w:hint="eastAsia" w:ascii="宋体" w:hAnsi="宋体" w:eastAsia="宋体" w:cs="宋体"/>
          <w:color w:val="auto"/>
          <w:szCs w:val="24"/>
          <w:highlight w:val="none"/>
        </w:rPr>
        <w:t xml:space="preserve">。</w:t>
      </w:r>
      <w:r/>
    </w:p>
    <w:p>
      <w:pPr>
        <w:ind w:left="0"/>
        <w:jc w:val="both"/>
        <w:keepLines w:val="0"/>
        <w:keepNext w:val="0"/>
        <w:pageBreakBefore w:val="0"/>
        <w:spacing w:line="520" w:lineRule="exact"/>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36</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特别提醒</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36.1投标单位如有提供不实评审材料，弄虚作假者，一律作废标处理，该不良行为将予以公示。</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36.2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bookmarkEnd w:id="0"/>
      <w:r/>
      <w:bookmarkStart w:id="43" w:name="_Toc409438818"/>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36.3投标文件中需签字或盖章处均可以用电子签名或电子章代替。</w:t>
      </w:r>
      <w:r/>
    </w:p>
    <w:p>
      <w:pPr>
        <w:keepLines/>
        <w:keepNex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37</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关于异常低价的审查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37.1</w:t>
      </w:r>
      <w:r>
        <w:rPr>
          <w:rFonts w:hint="eastAsia" w:ascii="宋体" w:hAnsi="宋体" w:eastAsia="宋体" w:cs="宋体"/>
          <w:color w:val="auto"/>
          <w:sz w:val="24"/>
          <w:szCs w:val="24"/>
          <w:highlight w:val="none"/>
        </w:rPr>
        <w:t xml:space="preserve">评审过程中出现下列情形之一的，评审委员会将启动异常低价投标（响应）审查程序：</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投标（响应）报价低于采购项目预算50%的，即投标（响应）报价&lt;采购项目预算×50%</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投标（响应）报价低于采购项目最高限价45%的，即投标（响应）报价&lt;采购项目最高限价×45%</w:t>
      </w:r>
      <w:r>
        <w:rPr>
          <w:rFonts w:hint="eastAsia" w:ascii="宋体" w:hAnsi="宋体" w:eastAsia="宋体" w:cs="宋体"/>
          <w:color w:val="auto"/>
          <w:sz w:val="24"/>
          <w:szCs w:val="24"/>
          <w:highlight w:val="none"/>
          <w:lang w:eastAsia="zh-CN"/>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评审委员会认定的供应商报价过低、有可能影响产品质量或者不能诚信履约的其他情形。</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37.2</w:t>
      </w:r>
      <w:r>
        <w:rPr>
          <w:rFonts w:hint="eastAsia" w:ascii="宋体" w:hAnsi="宋体" w:eastAsia="宋体" w:cs="宋体"/>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将在评审报告中进行记录。</w:t>
      </w:r>
      <w:r/>
    </w:p>
    <w:p>
      <w:pPr>
        <w:spacing w:line="52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38.其他</w:t>
      </w:r>
      <w:r/>
    </w:p>
    <w:p>
      <w:pPr>
        <w:pStyle w:val="967"/>
        <w:ind w:left="0" w:firstLine="480"/>
        <w:jc w:val="both"/>
        <w:keepLines w:val="0"/>
        <w:keepNext w:val="0"/>
        <w:pageBreakBefore w:val="0"/>
        <w:spacing w:line="520" w:lineRule="exact"/>
        <w:widowControl w:val="off"/>
        <w:rPr>
          <w:rFonts w:hint="eastAsia" w:ascii="宋体" w:hAnsi="宋体" w:eastAsia="宋体" w:cs="宋体"/>
          <w:color w:val="auto"/>
          <w:szCs w:val="24"/>
          <w:highlight w:val="none"/>
        </w:rPr>
        <w:outlineLvl w:val="9"/>
      </w:pP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供应商领取</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通知书时，向</w:t>
      </w:r>
      <w:r>
        <w:rPr>
          <w:rFonts w:hint="eastAsia" w:ascii="宋体" w:hAnsi="宋体" w:eastAsia="宋体" w:cs="宋体"/>
          <w:color w:val="auto"/>
          <w:sz w:val="24"/>
          <w:szCs w:val="24"/>
          <w:highlight w:val="none"/>
          <w:lang w:val="en-US" w:eastAsia="zh-CN"/>
        </w:rPr>
        <w:t xml:space="preserve">江苏建泰工程项目管理</w:t>
      </w:r>
      <w:r>
        <w:rPr>
          <w:rFonts w:hint="eastAsia" w:ascii="宋体" w:hAnsi="宋体" w:eastAsia="宋体" w:cs="宋体"/>
          <w:color w:val="auto"/>
          <w:sz w:val="24"/>
          <w:szCs w:val="24"/>
          <w:highlight w:val="none"/>
        </w:rPr>
        <w:t xml:space="preserve">有限公司提供纸质版</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肆份供归档使用，纸质版投标文件须和上传至苏服采系统的电子文件一致</w:t>
      </w:r>
      <w:r>
        <w:rPr>
          <w:rFonts w:hint="eastAsia" w:ascii="宋体" w:hAnsi="宋体" w:eastAsia="宋体" w:cs="宋体"/>
          <w:color w:val="auto"/>
          <w:sz w:val="24"/>
          <w:szCs w:val="24"/>
          <w:highlight w:val="none"/>
        </w:rPr>
        <w:t xml:space="preserve">。</w:t>
      </w:r>
      <w:r/>
    </w:p>
    <w:p>
      <w:pPr>
        <w:pStyle w:val="967"/>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7"/>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7"/>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7"/>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7"/>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7"/>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7"/>
        <w:ind w:firstLine="431"/>
        <w:jc w:val="both"/>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numPr>
          <w:ilvl w:val="0"/>
          <w:numId w:val="1"/>
        </w:numPr>
        <w:jc w:val="center"/>
        <w:spacing w:line="360" w:lineRule="auto"/>
        <w:widowControl/>
        <w:rPr>
          <w:rFonts w:hint="eastAsia" w:ascii="宋体" w:hAnsi="宋体" w:eastAsia="宋体" w:cs="宋体"/>
          <w:b/>
          <w:color w:val="auto"/>
          <w:spacing w:val="15"/>
          <w:sz w:val="32"/>
          <w:szCs w:val="32"/>
          <w:highlight w:val="none"/>
        </w:rPr>
      </w:pPr>
      <w:r>
        <w:rPr>
          <w:rFonts w:hint="eastAsia" w:ascii="宋体" w:hAnsi="宋体" w:eastAsia="宋体" w:cs="宋体"/>
          <w:color w:val="auto"/>
          <w:highlight w:val="none"/>
        </w:rPr>
        <w:br w:type="page" w:clear="all"/>
      </w:r>
      <w:bookmarkEnd w:id="43"/>
      <w:r/>
      <w:bookmarkStart w:id="44" w:name="_Toc388026586"/>
      <w:r>
        <w:rPr>
          <w:rFonts w:hint="eastAsia" w:ascii="宋体" w:hAnsi="宋体" w:eastAsia="宋体" w:cs="宋体"/>
          <w:b/>
          <w:color w:val="auto"/>
          <w:spacing w:val="15"/>
          <w:sz w:val="32"/>
          <w:szCs w:val="32"/>
          <w:highlight w:val="none"/>
        </w:rPr>
        <w:t xml:space="preserve">采购需求</w:t>
      </w:r>
      <w:r/>
    </w:p>
    <w:p>
      <w:pPr>
        <w:ind w:firstLine="487"/>
        <w:keepLines w:val="0"/>
        <w:keepNext w:val="0"/>
        <w:pageBreakBefore w:val="0"/>
        <w:spacing w:line="520" w:lineRule="exact"/>
        <w:widowControl w:val="off"/>
        <w:tabs>
          <w:tab w:val="left" w:pos="1260" w:leader="none"/>
        </w:tabs>
        <w:rPr>
          <w:rFonts w:hint="eastAsia" w:ascii="宋体" w:hAnsi="宋体" w:eastAsia="宋体" w:cs="宋体"/>
          <w:b/>
          <w:sz w:val="24"/>
          <w:szCs w:val="24"/>
        </w:rPr>
        <w:outlineLvl w:val="1"/>
      </w:pPr>
      <w:r>
        <w:rPr>
          <w:rFonts w:hint="eastAsia" w:ascii="宋体" w:hAnsi="宋体" w:eastAsia="宋体" w:cs="宋体"/>
          <w:b/>
          <w:sz w:val="24"/>
          <w:szCs w:val="20"/>
        </w:rPr>
        <w:t xml:space="preserve">一、采购需求</w:t>
      </w:r>
      <w:r/>
    </w:p>
    <w:p>
      <w:pPr>
        <w:ind w:firstLine="480"/>
        <w:keepLines w:val="0"/>
        <w:keepNext w:val="0"/>
        <w:pageBreakBefore w:val="0"/>
        <w:spacing w:line="520" w:lineRule="exact"/>
        <w:widowControl w:val="off"/>
        <w:tabs>
          <w:tab w:val="left" w:pos="414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w:t>
      </w:r>
      <w:r>
        <w:rPr>
          <w:rFonts w:hint="eastAsia" w:ascii="宋体" w:hAnsi="宋体" w:eastAsia="宋体" w:cs="宋体"/>
          <w:sz w:val="24"/>
          <w:szCs w:val="24"/>
          <w:lang w:val="en-US" w:eastAsia="zh-CN"/>
        </w:rPr>
        <w:t xml:space="preserve">为牵手夕阳老年人意外伤害保险</w:t>
      </w:r>
      <w:r>
        <w:rPr>
          <w:rFonts w:hint="eastAsia" w:ascii="宋体" w:hAnsi="宋体" w:eastAsia="宋体" w:cs="宋体"/>
          <w:sz w:val="24"/>
          <w:szCs w:val="24"/>
        </w:rPr>
        <w:t xml:space="preserve">。</w:t>
      </w:r>
      <w:r/>
    </w:p>
    <w:p>
      <w:pPr>
        <w:ind w:firstLine="480"/>
        <w:keepLines w:val="0"/>
        <w:keepNext w:val="0"/>
        <w:pageBreakBefore w:val="0"/>
        <w:spacing w:line="520" w:lineRule="exact"/>
        <w:widowControl w:val="off"/>
        <w:tabs>
          <w:tab w:val="left" w:pos="414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本项目采购预算金额</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最高限价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230万元/年</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报价超过采购预算或者最高限价的，将被判定为无效</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w:t>
      </w:r>
      <w:r/>
    </w:p>
    <w:p>
      <w:pPr>
        <w:ind w:firstLine="480"/>
        <w:keepLines w:val="0"/>
        <w:keepNext w:val="0"/>
        <w:pageBreakBefore w:val="0"/>
        <w:spacing w:line="520" w:lineRule="exact"/>
        <w:widowControl w:val="off"/>
        <w:tabs>
          <w:tab w:val="left" w:pos="4140" w:leader="none"/>
        </w:tabs>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适用人群：</w:t>
      </w: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具有泰州市户籍，出险时已满60周岁及以上的且经泰州各市（区）民政局认定的低收入人口，包括最低生活保障对象、特困供养人员、低保边缘家庭和支出型困难家庭四类人群。2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具有泰州市户籍，出险时已满80周岁及以上的人群（除泰州各市（区）民政局认定的低收入人口）；</w:t>
      </w:r>
      <w:r/>
    </w:p>
    <w:p>
      <w:pPr>
        <w:ind w:firstLine="480"/>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采购险种：意外伤害伤残保险、意外伤害医疗保险、意外伤害住院津贴保险、特定区域意外伤害身故保险</w:t>
      </w:r>
      <w:r>
        <w:rPr>
          <w:rFonts w:hint="eastAsia" w:ascii="宋体" w:hAnsi="宋体" w:eastAsia="宋体" w:cs="宋体"/>
          <w:sz w:val="24"/>
          <w:szCs w:val="24"/>
          <w:lang w:eastAsia="zh-CN"/>
        </w:rPr>
        <w:t xml:space="preserve">。</w:t>
      </w:r>
      <w:r/>
    </w:p>
    <w:p>
      <w:pPr>
        <w:numPr>
          <w:ilvl w:val="0"/>
          <w:numId w:val="2"/>
        </w:numPr>
        <w:ind w:firstLine="482"/>
        <w:keepLines w:val="0"/>
        <w:keepNext w:val="0"/>
        <w:pageBreakBefore w:val="0"/>
        <w:spacing w:line="520" w:lineRule="exact"/>
        <w:widowControl w:val="off"/>
        <w:tabs>
          <w:tab w:val="left" w:pos="1260" w:leader="none"/>
        </w:tabs>
        <w:rPr>
          <w:rFonts w:hint="eastAsia" w:ascii="宋体" w:hAnsi="宋体" w:eastAsia="宋体" w:cs="宋体"/>
          <w:b/>
          <w:sz w:val="24"/>
          <w:szCs w:val="24"/>
          <w:lang w:val="en-US" w:eastAsia="zh-CN"/>
        </w:rPr>
        <w:outlineLvl w:val="1"/>
      </w:pPr>
      <w:r>
        <w:rPr>
          <w:rFonts w:hint="eastAsia" w:ascii="宋体" w:hAnsi="宋体" w:eastAsia="宋体" w:cs="宋体"/>
          <w:b/>
          <w:sz w:val="24"/>
          <w:szCs w:val="24"/>
          <w:lang w:val="en-US" w:eastAsia="zh-CN"/>
        </w:rPr>
        <w:t xml:space="preserve">保险方案</w:t>
      </w:r>
      <w:r/>
    </w:p>
    <w:tbl>
      <w:tblPr>
        <w:tblStyle w:val="735"/>
        <w:tblW w:w="9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8"/>
        <w:gridCol w:w="1453"/>
        <w:gridCol w:w="1522"/>
        <w:gridCol w:w="2477"/>
        <w:gridCol w:w="2544"/>
      </w:tblGrid>
      <w:tr>
        <w:trPr>
          <w:jc w:val="center"/>
          <w:trHeight w:val="594"/>
        </w:trPr>
        <w:tc>
          <w:tcPr>
            <w:shd w:val="clear" w:color="auto" w:fill="f1f1f1"/>
            <w:tcW w:w="1458" w:type="dxa"/>
            <w:vAlign w:val="center"/>
            <w:vMerge w:val="restart"/>
            <w:textDirection w:val="lrTb"/>
            <w:noWrap w:val="false"/>
          </w:tcPr>
          <w:p>
            <w:pPr>
              <w:jc w:val="center"/>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保险项目</w:t>
            </w:r>
            <w:r/>
          </w:p>
        </w:tc>
        <w:tc>
          <w:tcPr>
            <w:shd w:val="clear" w:color="auto" w:fill="f1f1f1"/>
            <w:tcW w:w="1453" w:type="dxa"/>
            <w:vAlign w:val="center"/>
            <w:vMerge w:val="restart"/>
            <w:textDirection w:val="lrTb"/>
            <w:noWrap w:val="false"/>
          </w:tcPr>
          <w:p>
            <w:pPr>
              <w:jc w:val="center"/>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保障内容</w:t>
            </w:r>
            <w:r/>
          </w:p>
        </w:tc>
        <w:tc>
          <w:tcPr>
            <w:shd w:val="clear" w:color="auto" w:fill="f1f1f1"/>
            <w:tcW w:w="1522" w:type="dxa"/>
            <w:vAlign w:val="center"/>
            <w:vMerge w:val="restart"/>
            <w:textDirection w:val="lrTb"/>
            <w:noWrap w:val="false"/>
          </w:tcPr>
          <w:p>
            <w:pPr>
              <w:jc w:val="center"/>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赔付标准</w:t>
            </w:r>
            <w:r/>
          </w:p>
        </w:tc>
        <w:tc>
          <w:tcPr>
            <w:gridSpan w:val="2"/>
            <w:shd w:val="clear" w:color="auto" w:fill="f1f1f1"/>
            <w:tcW w:w="5021" w:type="dxa"/>
            <w:vAlign w:val="center"/>
            <w:textDirection w:val="lrTb"/>
            <w:noWrap w:val="false"/>
          </w:tcPr>
          <w:p>
            <w:pPr>
              <w:jc w:val="center"/>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保险金额（单位：元）</w:t>
            </w:r>
            <w:r/>
          </w:p>
        </w:tc>
      </w:tr>
      <w:tr>
        <w:trPr>
          <w:jc w:val="center"/>
          <w:trHeight w:val="624"/>
        </w:trPr>
        <w:tc>
          <w:tcPr>
            <w:shd w:val="clear" w:color="auto" w:fill="f1f1f1"/>
            <w:tcW w:w="1458" w:type="dxa"/>
            <w:vAlign w:val="center"/>
            <w:vMerge w:val="continue"/>
            <w:textDirection w:val="lrTb"/>
            <w:noWrap w:val="false"/>
          </w:tcPr>
          <w:p>
            <w:pPr>
              <w:jc w:val="left"/>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shd w:val="clear" w:color="auto" w:fill="f1f1f1"/>
            <w:tcW w:w="1453" w:type="dxa"/>
            <w:vAlign w:val="center"/>
            <w:vMerge w:val="continue"/>
            <w:textDirection w:val="lrTb"/>
            <w:noWrap w:val="false"/>
          </w:tcPr>
          <w:p>
            <w:pPr>
              <w:jc w:val="left"/>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shd w:val="clear" w:color="auto" w:fill="f1f1f1"/>
            <w:tcW w:w="1522" w:type="dxa"/>
            <w:vAlign w:val="center"/>
            <w:vMerge w:val="continue"/>
            <w:textDirection w:val="lrTb"/>
            <w:noWrap w:val="false"/>
          </w:tcPr>
          <w:p>
            <w:pPr>
              <w:jc w:val="left"/>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r>
            <w:r/>
          </w:p>
        </w:tc>
        <w:tc>
          <w:tcPr>
            <w:shd w:val="clear" w:color="auto" w:fill="f1f1f1"/>
            <w:tcW w:w="2477" w:type="dxa"/>
            <w:vAlign w:val="center"/>
            <w:vMerge w:val="restart"/>
            <w:textDirection w:val="lrTb"/>
            <w:noWrap w:val="false"/>
          </w:tcPr>
          <w:p>
            <w:pPr>
              <w:jc w:val="center"/>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80周岁及以上人群</w:t>
            </w:r>
            <w:r/>
          </w:p>
          <w:p>
            <w:pPr>
              <w:jc w:val="center"/>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（除低收入人群）</w:t>
            </w:r>
            <w:r/>
          </w:p>
        </w:tc>
        <w:tc>
          <w:tcPr>
            <w:shd w:val="clear" w:color="auto" w:fill="f1f1f1"/>
            <w:tcW w:w="2544" w:type="dxa"/>
            <w:vAlign w:val="center"/>
            <w:vMerge w:val="restart"/>
            <w:textDirection w:val="lrTb"/>
            <w:noWrap w:val="false"/>
          </w:tcPr>
          <w:p>
            <w:pPr>
              <w:jc w:val="center"/>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60周岁及以上低收入人群</w:t>
            </w:r>
            <w:r/>
          </w:p>
        </w:tc>
      </w:tr>
      <w:tr>
        <w:trPr>
          <w:jc w:val="center"/>
          <w:trHeight w:val="700"/>
        </w:trPr>
        <w:tc>
          <w:tcPr>
            <w:tcW w:w="1458" w:type="dxa"/>
            <w:vAlign w:val="center"/>
            <w:textDirection w:val="lrTb"/>
            <w:noWrap w:val="false"/>
          </w:tcPr>
          <w:p>
            <w:pPr>
              <w:jc w:val="center"/>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意外伤害伤残保险</w:t>
            </w:r>
            <w:r/>
          </w:p>
        </w:tc>
        <w:tc>
          <w:tcPr>
            <w:tcW w:w="1453" w:type="dxa"/>
            <w:vAlign w:val="center"/>
            <w:textDirection w:val="lrTb"/>
            <w:noWrap w:val="false"/>
          </w:tcPr>
          <w:p>
            <w:pPr>
              <w:jc w:val="center"/>
              <w:spacing w:line="36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因意外伤害导致伤残</w:t>
            </w:r>
            <w:r/>
          </w:p>
        </w:tc>
        <w:tc>
          <w:tcPr>
            <w:tcW w:w="1522" w:type="dxa"/>
            <w:vAlign w:val="center"/>
            <w:textDirection w:val="lrTb"/>
            <w:noWrap w:val="false"/>
          </w:tcPr>
          <w:p>
            <w:pPr>
              <w:jc w:val="center"/>
              <w:spacing w:line="36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按评残等级比例最高赔付限额</w:t>
            </w:r>
            <w:r/>
          </w:p>
        </w:tc>
        <w:tc>
          <w:tcPr>
            <w:tcW w:w="2477" w:type="dxa"/>
            <w:vAlign w:val="center"/>
            <w:textDirection w:val="lrTb"/>
            <w:noWrap w:val="false"/>
          </w:tcPr>
          <w:p>
            <w:pPr>
              <w:jc w:val="center"/>
              <w:spacing w:line="36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30000元</w:t>
            </w:r>
            <w:r/>
          </w:p>
        </w:tc>
        <w:tc>
          <w:tcPr>
            <w:tcW w:w="2544" w:type="dxa"/>
            <w:vAlign w:val="center"/>
            <w:textDirection w:val="lrTb"/>
            <w:noWrap w:val="false"/>
          </w:tcPr>
          <w:p>
            <w:pPr>
              <w:jc w:val="center"/>
              <w:spacing w:line="36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50000元</w:t>
            </w:r>
            <w:r/>
          </w:p>
        </w:tc>
      </w:tr>
      <w:tr>
        <w:trPr>
          <w:jc w:val="center"/>
          <w:trHeight w:val="700"/>
        </w:trPr>
        <w:tc>
          <w:tcPr>
            <w:tcW w:w="1458" w:type="dxa"/>
            <w:vAlign w:val="center"/>
            <w:textDirection w:val="lrTb"/>
            <w:noWrap w:val="false"/>
          </w:tcPr>
          <w:p>
            <w:pPr>
              <w:jc w:val="center"/>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意外伤害医疗保险</w:t>
            </w:r>
            <w:r/>
          </w:p>
        </w:tc>
        <w:tc>
          <w:tcPr>
            <w:tcW w:w="1453" w:type="dxa"/>
            <w:vAlign w:val="center"/>
            <w:textDirection w:val="lrTb"/>
            <w:noWrap w:val="false"/>
          </w:tcPr>
          <w:p>
            <w:pPr>
              <w:jc w:val="center"/>
              <w:spacing w:line="36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因意外伤害门急诊或住院就诊发生的医疗费用</w:t>
            </w:r>
            <w:r/>
          </w:p>
        </w:tc>
        <w:tc>
          <w:tcPr>
            <w:tcW w:w="1522" w:type="dxa"/>
            <w:vAlign w:val="center"/>
            <w:textDirection w:val="lrTb"/>
            <w:noWrap w:val="false"/>
          </w:tcPr>
          <w:p>
            <w:pPr>
              <w:jc w:val="center"/>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基本医疗保险报销后剩余费用</w:t>
            </w:r>
            <w:r/>
          </w:p>
        </w:tc>
        <w:tc>
          <w:tcPr>
            <w:tcW w:w="2477" w:type="dxa"/>
            <w:vAlign w:val="center"/>
            <w:textDirection w:val="lrTb"/>
            <w:noWrap w:val="false"/>
          </w:tcPr>
          <w:p>
            <w:pPr>
              <w:jc w:val="center"/>
              <w:spacing w:line="360" w:lineRule="auto"/>
              <w:widowControl/>
              <w:rPr>
                <w:rFonts w:hint="eastAsia" w:ascii="宋体" w:hAnsi="宋体" w:eastAsia="宋体" w:cs="宋体"/>
                <w:color w:val="auto"/>
                <w:sz w:val="20"/>
                <w:szCs w:val="20"/>
              </w:rPr>
            </w:pPr>
            <w:r>
              <w:rPr>
                <w:rFonts w:hint="eastAsia" w:ascii="宋体" w:hAnsi="宋体" w:eastAsia="宋体" w:cs="宋体"/>
                <w:b/>
                <w:bCs/>
                <w:color w:val="auto"/>
                <w:sz w:val="20"/>
                <w:szCs w:val="20"/>
              </w:rPr>
              <w:t xml:space="preserve">门急诊：</w:t>
            </w:r>
            <w:r>
              <w:rPr>
                <w:rFonts w:hint="eastAsia" w:ascii="宋体" w:hAnsi="宋体" w:eastAsia="宋体" w:cs="宋体"/>
                <w:color w:val="auto"/>
                <w:sz w:val="20"/>
                <w:szCs w:val="20"/>
              </w:rPr>
              <w:t xml:space="preserve">免赔额300元,最高限额1500元</w:t>
            </w:r>
            <w:r/>
          </w:p>
          <w:p>
            <w:pPr>
              <w:jc w:val="center"/>
              <w:spacing w:line="360" w:lineRule="auto"/>
              <w:widowControl/>
              <w:rPr>
                <w:rFonts w:hint="eastAsia" w:ascii="宋体" w:hAnsi="宋体" w:eastAsia="宋体" w:cs="宋体"/>
                <w:b/>
                <w:bCs/>
                <w:color w:val="auto"/>
                <w:sz w:val="20"/>
                <w:szCs w:val="20"/>
              </w:rPr>
            </w:pPr>
            <w:r>
              <w:rPr>
                <w:rFonts w:hint="eastAsia" w:ascii="宋体" w:hAnsi="宋体" w:eastAsia="宋体" w:cs="宋体"/>
                <w:b/>
                <w:bCs/>
                <w:color w:val="auto"/>
                <w:sz w:val="20"/>
                <w:szCs w:val="20"/>
              </w:rPr>
              <w:t xml:space="preserve">住院：</w:t>
            </w:r>
            <w:r>
              <w:rPr>
                <w:rFonts w:hint="eastAsia" w:ascii="宋体" w:hAnsi="宋体" w:eastAsia="宋体" w:cs="宋体"/>
                <w:color w:val="auto"/>
                <w:sz w:val="20"/>
                <w:szCs w:val="20"/>
              </w:rPr>
              <w:t xml:space="preserve">免赔额:0元/年；给付比例:70%；</w:t>
            </w:r>
            <w:r>
              <w:rPr>
                <w:rFonts w:hint="eastAsia" w:ascii="宋体" w:hAnsi="宋体" w:eastAsia="宋体" w:cs="宋体"/>
                <w:b/>
                <w:bCs/>
                <w:color w:val="auto"/>
                <w:sz w:val="20"/>
                <w:szCs w:val="20"/>
              </w:rPr>
              <w:t xml:space="preserve">保额:（10000）</w:t>
            </w:r>
            <w:r>
              <w:rPr>
                <w:rFonts w:hint="eastAsia" w:ascii="宋体" w:hAnsi="宋体" w:eastAsia="宋体" w:cs="宋体"/>
                <w:color w:val="auto"/>
                <w:sz w:val="20"/>
                <w:szCs w:val="20"/>
              </w:rPr>
              <w:t xml:space="preserve">元</w:t>
            </w:r>
            <w:r>
              <w:rPr>
                <w:rFonts w:hint="eastAsia" w:ascii="宋体" w:hAnsi="宋体" w:eastAsia="宋体" w:cs="宋体"/>
                <w:color w:val="auto"/>
                <w:sz w:val="20"/>
                <w:szCs w:val="20"/>
              </w:rPr>
              <w:t xml:space="preserve">（包括个人先行自付部分的医疗费用以及基本医疗保险规定之外的应当由个人全额负担的自费费用）</w:t>
            </w:r>
            <w:r/>
          </w:p>
        </w:tc>
        <w:tc>
          <w:tcPr>
            <w:tcW w:w="2544" w:type="dxa"/>
            <w:vAlign w:val="center"/>
            <w:textDirection w:val="lrTb"/>
            <w:noWrap w:val="false"/>
          </w:tcPr>
          <w:p>
            <w:pPr>
              <w:jc w:val="center"/>
              <w:spacing w:line="360" w:lineRule="auto"/>
              <w:widowControl/>
              <w:rPr>
                <w:rFonts w:hint="eastAsia" w:ascii="宋体" w:hAnsi="宋体" w:eastAsia="宋体" w:cs="宋体"/>
                <w:color w:val="auto"/>
                <w:sz w:val="20"/>
                <w:szCs w:val="20"/>
              </w:rPr>
            </w:pPr>
            <w:r>
              <w:rPr>
                <w:rFonts w:hint="eastAsia" w:ascii="宋体" w:hAnsi="宋体" w:eastAsia="宋体" w:cs="宋体"/>
                <w:b/>
                <w:bCs/>
                <w:color w:val="auto"/>
                <w:sz w:val="20"/>
                <w:szCs w:val="20"/>
              </w:rPr>
              <w:t xml:space="preserve">门急诊：</w:t>
            </w:r>
            <w:r>
              <w:rPr>
                <w:rFonts w:hint="eastAsia" w:ascii="宋体" w:hAnsi="宋体" w:eastAsia="宋体" w:cs="宋体"/>
                <w:color w:val="auto"/>
                <w:sz w:val="20"/>
                <w:szCs w:val="20"/>
              </w:rPr>
              <w:t xml:space="preserve">无免赔，最高限额1500元</w:t>
            </w:r>
            <w:r/>
          </w:p>
          <w:p>
            <w:pPr>
              <w:jc w:val="center"/>
              <w:spacing w:line="360" w:lineRule="auto"/>
              <w:widowControl/>
              <w:rPr>
                <w:rFonts w:hint="eastAsia" w:ascii="宋体" w:hAnsi="宋体" w:eastAsia="宋体" w:cs="宋体"/>
                <w:b/>
                <w:bCs/>
                <w:color w:val="auto"/>
                <w:sz w:val="20"/>
                <w:szCs w:val="20"/>
              </w:rPr>
            </w:pPr>
            <w:r>
              <w:rPr>
                <w:rFonts w:hint="eastAsia" w:ascii="宋体" w:hAnsi="宋体" w:eastAsia="宋体" w:cs="宋体"/>
                <w:b/>
                <w:bCs/>
                <w:color w:val="auto"/>
                <w:sz w:val="20"/>
                <w:szCs w:val="20"/>
              </w:rPr>
              <w:t xml:space="preserve">住院：</w:t>
            </w:r>
            <w:r>
              <w:rPr>
                <w:rFonts w:hint="eastAsia" w:ascii="宋体" w:hAnsi="宋体" w:eastAsia="宋体" w:cs="宋体"/>
                <w:color w:val="auto"/>
                <w:sz w:val="20"/>
                <w:szCs w:val="20"/>
              </w:rPr>
              <w:t xml:space="preserve">免赔额:0元/年；给付比例:80%；</w:t>
            </w:r>
            <w:r>
              <w:rPr>
                <w:rFonts w:hint="eastAsia" w:ascii="宋体" w:hAnsi="宋体" w:eastAsia="宋体" w:cs="宋体"/>
                <w:b/>
                <w:bCs/>
                <w:color w:val="auto"/>
                <w:sz w:val="20"/>
                <w:szCs w:val="20"/>
              </w:rPr>
              <w:t xml:space="preserve">保额:（15000）</w:t>
            </w:r>
            <w:r>
              <w:rPr>
                <w:rFonts w:hint="eastAsia" w:ascii="宋体" w:hAnsi="宋体" w:eastAsia="宋体" w:cs="宋体"/>
                <w:color w:val="auto"/>
                <w:sz w:val="20"/>
                <w:szCs w:val="20"/>
              </w:rPr>
              <w:t xml:space="preserve">元</w:t>
            </w:r>
            <w:r>
              <w:rPr>
                <w:rFonts w:hint="eastAsia" w:ascii="宋体" w:hAnsi="宋体" w:eastAsia="宋体" w:cs="宋体"/>
                <w:color w:val="auto"/>
                <w:sz w:val="20"/>
                <w:szCs w:val="20"/>
              </w:rPr>
              <w:t xml:space="preserve">（包括个人先行自付部分的医疗费用以及基本医疗保险规定之外的应当由个人全额负担的自费费用）</w:t>
            </w:r>
            <w:r/>
          </w:p>
        </w:tc>
      </w:tr>
      <w:tr>
        <w:trPr>
          <w:jc w:val="center"/>
          <w:trHeight w:val="1122"/>
        </w:trPr>
        <w:tc>
          <w:tcPr>
            <w:tcW w:w="1458" w:type="dxa"/>
            <w:vAlign w:val="center"/>
            <w:textDirection w:val="lrTb"/>
            <w:noWrap w:val="false"/>
          </w:tcPr>
          <w:p>
            <w:pPr>
              <w:jc w:val="center"/>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意外伤害住院津贴保险</w:t>
            </w:r>
            <w:r/>
          </w:p>
        </w:tc>
        <w:tc>
          <w:tcPr>
            <w:tcW w:w="1453" w:type="dxa"/>
            <w:vAlign w:val="center"/>
            <w:textDirection w:val="lrTb"/>
            <w:noWrap w:val="false"/>
          </w:tcPr>
          <w:p>
            <w:pPr>
              <w:jc w:val="center"/>
              <w:spacing w:line="36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因意外伤害住院</w:t>
            </w:r>
            <w:r/>
          </w:p>
        </w:tc>
        <w:tc>
          <w:tcPr>
            <w:tcW w:w="1522" w:type="dxa"/>
            <w:vAlign w:val="center"/>
            <w:textDirection w:val="lrTb"/>
            <w:noWrap w:val="false"/>
          </w:tcPr>
          <w:p>
            <w:pPr>
              <w:jc w:val="center"/>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按住院天数给付，无免赔天数，最长60天</w:t>
            </w:r>
            <w:r/>
          </w:p>
        </w:tc>
        <w:tc>
          <w:tcPr>
            <w:tcW w:w="2477" w:type="dxa"/>
            <w:vAlign w:val="center"/>
            <w:textDirection w:val="lrTb"/>
            <w:noWrap w:val="false"/>
          </w:tcPr>
          <w:p>
            <w:pPr>
              <w:jc w:val="center"/>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100元/天</w:t>
            </w:r>
            <w:r/>
          </w:p>
        </w:tc>
        <w:tc>
          <w:tcPr>
            <w:tcW w:w="2544" w:type="dxa"/>
            <w:vAlign w:val="center"/>
            <w:textDirection w:val="lrTb"/>
            <w:noWrap w:val="false"/>
          </w:tcPr>
          <w:p>
            <w:pPr>
              <w:jc w:val="center"/>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150元/天</w:t>
            </w:r>
            <w:r/>
          </w:p>
        </w:tc>
      </w:tr>
      <w:tr>
        <w:trPr>
          <w:jc w:val="center"/>
          <w:trHeight w:val="662"/>
        </w:trPr>
        <w:tc>
          <w:tcPr>
            <w:tcW w:w="1458" w:type="dxa"/>
            <w:vAlign w:val="center"/>
            <w:textDirection w:val="lrTb"/>
            <w:noWrap w:val="false"/>
          </w:tcPr>
          <w:p>
            <w:pPr>
              <w:jc w:val="center"/>
              <w:spacing w:line="360" w:lineRule="auto"/>
              <w:widowControl/>
              <w:rPr>
                <w:rFonts w:hint="eastAsia" w:ascii="宋体" w:hAnsi="宋体" w:eastAsia="宋体" w:cs="宋体"/>
                <w:b/>
                <w:bCs/>
                <w:color w:val="000000"/>
                <w:sz w:val="20"/>
                <w:szCs w:val="20"/>
              </w:rPr>
            </w:pPr>
            <w:r>
              <w:rPr>
                <w:rFonts w:hint="eastAsia" w:ascii="宋体" w:hAnsi="宋体" w:eastAsia="宋体" w:cs="宋体"/>
                <w:b/>
                <w:bCs/>
                <w:color w:val="000000"/>
                <w:sz w:val="20"/>
                <w:szCs w:val="20"/>
              </w:rPr>
              <w:t xml:space="preserve">特定区域意外伤害身故保险</w:t>
            </w:r>
            <w:r/>
          </w:p>
        </w:tc>
        <w:tc>
          <w:tcPr>
            <w:tcW w:w="1453" w:type="dxa"/>
            <w:vAlign w:val="center"/>
            <w:textDirection w:val="lrTb"/>
            <w:noWrap w:val="false"/>
          </w:tcPr>
          <w:p>
            <w:pPr>
              <w:jc w:val="center"/>
              <w:spacing w:line="36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因在特定区域发生意外伤害导致身故</w:t>
            </w:r>
            <w:r/>
          </w:p>
        </w:tc>
        <w:tc>
          <w:tcPr>
            <w:tcW w:w="1522" w:type="dxa"/>
            <w:vAlign w:val="center"/>
            <w:textDirection w:val="lrTb"/>
            <w:noWrap w:val="false"/>
          </w:tcPr>
          <w:p>
            <w:pPr>
              <w:jc w:val="center"/>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一次性全额给付</w:t>
            </w:r>
            <w:r/>
          </w:p>
        </w:tc>
        <w:tc>
          <w:tcPr>
            <w:tcW w:w="2477" w:type="dxa"/>
            <w:vAlign w:val="center"/>
            <w:textDirection w:val="lrTb"/>
            <w:noWrap w:val="false"/>
          </w:tcPr>
          <w:p>
            <w:pPr>
              <w:jc w:val="center"/>
              <w:spacing w:line="360" w:lineRule="auto"/>
              <w:widowControl/>
              <w:rPr>
                <w:rFonts w:hint="eastAsia" w:ascii="宋体" w:hAnsi="宋体" w:eastAsia="宋体" w:cs="宋体"/>
                <w:b/>
                <w:bCs/>
                <w:color w:val="auto"/>
                <w:sz w:val="20"/>
                <w:szCs w:val="20"/>
              </w:rPr>
            </w:pPr>
            <w:r>
              <w:rPr>
                <w:rFonts w:hint="eastAsia" w:ascii="宋体" w:hAnsi="宋体" w:eastAsia="宋体" w:cs="宋体"/>
                <w:b/>
                <w:bCs/>
                <w:color w:val="auto"/>
                <w:sz w:val="20"/>
                <w:szCs w:val="20"/>
              </w:rPr>
              <w:t xml:space="preserve">保额:（20000）元</w:t>
            </w:r>
            <w:r/>
          </w:p>
          <w:p>
            <w:pPr>
              <w:jc w:val="center"/>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（60周岁及以上人群）</w:t>
            </w:r>
            <w:r/>
          </w:p>
        </w:tc>
        <w:tc>
          <w:tcPr>
            <w:tcW w:w="2544" w:type="dxa"/>
            <w:vAlign w:val="center"/>
            <w:textDirection w:val="lrTb"/>
            <w:noWrap w:val="false"/>
          </w:tcPr>
          <w:p>
            <w:pPr>
              <w:jc w:val="center"/>
              <w:spacing w:line="360" w:lineRule="auto"/>
              <w:widowControl/>
              <w:rPr>
                <w:rFonts w:hint="eastAsia" w:ascii="宋体" w:hAnsi="宋体" w:eastAsia="宋体" w:cs="宋体"/>
                <w:color w:val="auto"/>
                <w:sz w:val="20"/>
                <w:szCs w:val="20"/>
              </w:rPr>
            </w:pPr>
            <w:r>
              <w:rPr>
                <w:rFonts w:hint="eastAsia" w:ascii="宋体" w:hAnsi="宋体" w:eastAsia="宋体" w:cs="宋体"/>
                <w:b/>
                <w:bCs/>
                <w:color w:val="auto"/>
                <w:sz w:val="20"/>
                <w:szCs w:val="20"/>
              </w:rPr>
              <w:t xml:space="preserve">保额:（20000）元</w:t>
            </w:r>
            <w:r>
              <w:rPr>
                <w:rFonts w:hint="eastAsia" w:ascii="宋体" w:hAnsi="宋体" w:eastAsia="宋体" w:cs="宋体"/>
                <w:color w:val="auto"/>
                <w:sz w:val="20"/>
                <w:szCs w:val="20"/>
              </w:rPr>
              <w:t xml:space="preserve">，其中特困供养人员2000元。</w:t>
            </w:r>
            <w:r/>
          </w:p>
          <w:p>
            <w:pPr>
              <w:jc w:val="center"/>
              <w:spacing w:line="360" w:lineRule="auto"/>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（60周岁及以上人群）</w:t>
            </w:r>
            <w:r/>
          </w:p>
        </w:tc>
      </w:tr>
      <w:tr>
        <w:trPr>
          <w:jc w:val="center"/>
          <w:trHeight w:val="566"/>
        </w:trPr>
        <w:tc>
          <w:tcPr>
            <w:gridSpan w:val="4"/>
            <w:tcW w:w="6910" w:type="dxa"/>
            <w:vAlign w:val="center"/>
            <w:textDirection w:val="lrTb"/>
            <w:noWrap w:val="false"/>
          </w:tcPr>
          <w:p>
            <w:pPr>
              <w:jc w:val="center"/>
              <w:spacing w:line="360" w:lineRule="auto"/>
              <w:widowControl/>
              <w:rPr>
                <w:rFonts w:hint="eastAsia" w:ascii="宋体" w:hAnsi="宋体" w:eastAsia="宋体" w:cs="宋体"/>
                <w:color w:val="000000"/>
                <w:sz w:val="20"/>
                <w:szCs w:val="20"/>
              </w:rPr>
            </w:pPr>
            <w:r>
              <w:rPr>
                <w:rFonts w:hint="eastAsia" w:ascii="宋体" w:hAnsi="宋体" w:eastAsia="宋体" w:cs="宋体"/>
                <w:color w:val="000000"/>
                <w:sz w:val="20"/>
                <w:szCs w:val="20"/>
              </w:rPr>
              <w:t xml:space="preserve">总保费</w:t>
            </w:r>
            <w:r/>
          </w:p>
        </w:tc>
        <w:tc>
          <w:tcPr>
            <w:tcW w:w="2544" w:type="dxa"/>
            <w:vAlign w:val="center"/>
            <w:textDirection w:val="lrTb"/>
            <w:noWrap w:val="false"/>
          </w:tcPr>
          <w:p>
            <w:pPr>
              <w:jc w:val="center"/>
              <w:spacing w:line="360" w:lineRule="auto"/>
              <w:widowControl/>
              <w:rPr>
                <w:rFonts w:hint="eastAsia" w:ascii="宋体" w:hAnsi="宋体" w:eastAsia="宋体" w:cs="宋体"/>
                <w:color w:val="000000"/>
                <w:sz w:val="20"/>
                <w:szCs w:val="20"/>
              </w:rPr>
            </w:pPr>
            <w:r>
              <w:rPr>
                <w:rFonts w:hint="eastAsia" w:ascii="宋体" w:hAnsi="宋体" w:eastAsia="宋体" w:cs="宋体"/>
                <w:color w:val="auto"/>
                <w:sz w:val="20"/>
                <w:szCs w:val="20"/>
              </w:rPr>
              <w:t xml:space="preserve">230万元</w:t>
            </w:r>
            <w:r/>
          </w:p>
        </w:tc>
      </w:tr>
    </w:tbl>
    <w:p>
      <w:pPr>
        <w:ind w:firstLine="480"/>
        <w:keepLines w:val="0"/>
        <w:keepNext w:val="0"/>
        <w:pageBreakBefore w:val="0"/>
        <w:spacing w:line="500" w:lineRule="exact"/>
        <w:widowControl w:val="off"/>
        <w:rPr>
          <w:rFonts w:hint="eastAsia" w:ascii="宋体" w:hAnsi="宋体" w:eastAsia="宋体" w:cs="宋体"/>
          <w:bCs/>
          <w:sz w:val="24"/>
          <w:szCs w:val="20"/>
        </w:rPr>
      </w:pPr>
      <w:r>
        <w:rPr>
          <w:rFonts w:hint="eastAsia" w:ascii="宋体" w:hAnsi="宋体" w:eastAsia="宋体" w:cs="宋体"/>
          <w:bCs/>
          <w:sz w:val="24"/>
          <w:szCs w:val="20"/>
        </w:rPr>
        <w:t xml:space="preserve">备注：</w:t>
      </w:r>
      <w:r/>
    </w:p>
    <w:p>
      <w:pPr>
        <w:ind w:firstLine="480"/>
        <w:keepLines w:val="0"/>
        <w:keepNext w:val="0"/>
        <w:pageBreakBefore w:val="0"/>
        <w:spacing w:line="500" w:lineRule="exact"/>
        <w:widowControl w:val="off"/>
        <w:rPr>
          <w:rFonts w:hint="eastAsia" w:ascii="宋体" w:hAnsi="宋体" w:eastAsia="宋体" w:cs="宋体"/>
          <w:bCs/>
          <w:sz w:val="24"/>
          <w:szCs w:val="20"/>
          <w:highlight w:val="none"/>
        </w:rPr>
      </w:pPr>
      <w:r>
        <w:rPr>
          <w:rFonts w:hint="eastAsia" w:ascii="宋体" w:hAnsi="宋体" w:eastAsia="宋体" w:cs="宋体"/>
          <w:bCs/>
          <w:sz w:val="24"/>
          <w:szCs w:val="20"/>
        </w:rPr>
        <w:t xml:space="preserve">1</w:t>
      </w:r>
      <w:r>
        <w:rPr>
          <w:rFonts w:hint="eastAsia" w:ascii="宋体" w:hAnsi="宋体" w:eastAsia="宋体" w:cs="宋体"/>
          <w:bCs/>
          <w:sz w:val="24"/>
          <w:szCs w:val="20"/>
          <w:lang w:eastAsia="zh-CN"/>
        </w:rPr>
        <w:t xml:space="preserve">.</w:t>
      </w:r>
      <w:r>
        <w:rPr>
          <w:rFonts w:hint="eastAsia" w:ascii="宋体" w:hAnsi="宋体" w:eastAsia="宋体" w:cs="宋体"/>
          <w:bCs/>
          <w:sz w:val="24"/>
          <w:szCs w:val="20"/>
        </w:rPr>
        <w:t xml:space="preserve">特</w:t>
      </w:r>
      <w:r>
        <w:rPr>
          <w:rFonts w:hint="eastAsia" w:ascii="宋体" w:hAnsi="宋体" w:eastAsia="宋体" w:cs="宋体"/>
          <w:bCs/>
          <w:sz w:val="24"/>
          <w:szCs w:val="20"/>
          <w:highlight w:val="none"/>
        </w:rPr>
        <w:t xml:space="preserve">定区域意外伤害身故保险</w:t>
      </w:r>
      <w:r>
        <w:rPr>
          <w:rFonts w:hint="eastAsia" w:ascii="宋体" w:hAnsi="宋体" w:eastAsia="宋体" w:cs="宋体"/>
          <w:bCs/>
          <w:sz w:val="24"/>
          <w:szCs w:val="20"/>
          <w:highlight w:val="none"/>
          <w:lang w:eastAsia="zh-CN"/>
        </w:rPr>
        <w:t xml:space="preserve">的参保对象</w:t>
      </w:r>
      <w:r>
        <w:rPr>
          <w:rFonts w:hint="eastAsia" w:ascii="宋体" w:hAnsi="宋体" w:eastAsia="宋体" w:cs="宋体"/>
          <w:bCs/>
          <w:sz w:val="24"/>
          <w:szCs w:val="20"/>
          <w:highlight w:val="none"/>
        </w:rPr>
        <w:t xml:space="preserve">：60周岁及以上所有人群（不限低收入人群）</w:t>
      </w:r>
      <w:r>
        <w:rPr>
          <w:rFonts w:hint="eastAsia" w:ascii="宋体" w:hAnsi="宋体" w:eastAsia="宋体" w:cs="宋体"/>
          <w:bCs/>
          <w:sz w:val="24"/>
          <w:szCs w:val="20"/>
          <w:highlight w:val="none"/>
          <w:lang w:eastAsia="zh-CN"/>
        </w:rPr>
        <w:t xml:space="preserve">、民政局组织活动邀请的参加人员</w:t>
      </w:r>
      <w:r>
        <w:rPr>
          <w:rFonts w:hint="eastAsia" w:ascii="宋体" w:hAnsi="宋体" w:eastAsia="宋体" w:cs="宋体"/>
          <w:bCs/>
          <w:sz w:val="24"/>
          <w:szCs w:val="20"/>
          <w:highlight w:val="none"/>
        </w:rPr>
        <w:t xml:space="preserve">；</w:t>
      </w:r>
      <w:r/>
    </w:p>
    <w:p>
      <w:pPr>
        <w:ind w:firstLine="480"/>
        <w:keepLines w:val="0"/>
        <w:keepNext w:val="0"/>
        <w:pageBreakBefore w:val="0"/>
        <w:spacing w:line="500" w:lineRule="exact"/>
        <w:widowControl w:val="off"/>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保障地域约定：</w:t>
      </w:r>
      <w:r/>
    </w:p>
    <w:p>
      <w:pPr>
        <w:ind w:firstLine="480"/>
        <w:keepLines w:val="0"/>
        <w:keepNext w:val="0"/>
        <w:pageBreakBefore w:val="0"/>
        <w:spacing w:line="500" w:lineRule="exact"/>
        <w:widowControl w:val="off"/>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1</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意外伤害保险、意外伤害医疗保险、意外伤害住院津贴保险：中华人民共和国境内及港、澳地区。</w:t>
      </w:r>
      <w:r/>
    </w:p>
    <w:p>
      <w:pPr>
        <w:ind w:firstLine="480"/>
        <w:keepLines w:val="0"/>
        <w:keepNext w:val="0"/>
        <w:pageBreakBefore w:val="0"/>
        <w:spacing w:line="500" w:lineRule="exact"/>
        <w:widowControl w:val="off"/>
        <w:rPr>
          <w:rFonts w:hint="eastAsia" w:ascii="宋体" w:hAnsi="宋体" w:eastAsia="宋体" w:cs="宋体"/>
          <w:bCs/>
          <w:sz w:val="24"/>
          <w:szCs w:val="20"/>
          <w:highlight w:val="none"/>
        </w:rPr>
      </w:pP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color w:val="000000"/>
          <w:sz w:val="24"/>
          <w:szCs w:val="20"/>
          <w:highlight w:val="none"/>
        </w:rPr>
        <w:t xml:space="preserve">特定区域约定：</w:t>
      </w:r>
      <w:r>
        <w:rPr>
          <w:rFonts w:hint="eastAsia" w:ascii="宋体" w:hAnsi="宋体" w:eastAsia="宋体" w:cs="宋体"/>
          <w:color w:val="000000"/>
          <w:sz w:val="24"/>
          <w:szCs w:val="20"/>
          <w:highlight w:val="none"/>
          <w:lang w:eastAsia="zh-CN"/>
        </w:rPr>
        <w:t xml:space="preserve">泰州市（</w:t>
      </w:r>
      <w:r>
        <w:rPr>
          <w:rFonts w:hint="eastAsia" w:ascii="宋体" w:hAnsi="宋体" w:eastAsia="宋体" w:cs="宋体"/>
          <w:bCs/>
          <w:sz w:val="24"/>
          <w:szCs w:val="20"/>
          <w:highlight w:val="none"/>
        </w:rPr>
        <w:t xml:space="preserve">海陵区、</w:t>
      </w:r>
      <w:r>
        <w:rPr>
          <w:rFonts w:hint="eastAsia" w:ascii="宋体" w:hAnsi="宋体" w:eastAsia="宋体" w:cs="宋体"/>
          <w:bCs/>
          <w:sz w:val="24"/>
          <w:szCs w:val="20"/>
          <w:highlight w:val="none"/>
          <w:lang w:val="en-US" w:eastAsia="zh-CN"/>
        </w:rPr>
        <w:t xml:space="preserve">泰州医药高新区（高港区）</w:t>
      </w:r>
      <w:r>
        <w:rPr>
          <w:rFonts w:hint="eastAsia" w:ascii="宋体" w:hAnsi="宋体" w:eastAsia="宋体" w:cs="宋体"/>
          <w:bCs/>
          <w:sz w:val="24"/>
          <w:szCs w:val="20"/>
          <w:highlight w:val="none"/>
        </w:rPr>
        <w:t xml:space="preserve">、姜堰区</w:t>
      </w:r>
      <w:r>
        <w:rPr>
          <w:rFonts w:hint="eastAsia" w:ascii="宋体" w:hAnsi="宋体" w:eastAsia="宋体" w:cs="宋体"/>
          <w:bCs/>
          <w:sz w:val="24"/>
          <w:szCs w:val="20"/>
          <w:highlight w:val="none"/>
          <w:lang w:eastAsia="zh-CN"/>
        </w:rPr>
        <w:t xml:space="preserve">、靖江市、泰兴市、兴化市</w:t>
      </w:r>
      <w:r>
        <w:rPr>
          <w:rFonts w:hint="eastAsia" w:ascii="宋体" w:hAnsi="宋体" w:eastAsia="宋体" w:cs="宋体"/>
          <w:color w:val="000000"/>
          <w:sz w:val="24"/>
          <w:szCs w:val="20"/>
          <w:highlight w:val="none"/>
          <w:lang w:eastAsia="zh-CN"/>
        </w:rPr>
        <w:t xml:space="preserve">）</w:t>
      </w:r>
      <w:r>
        <w:rPr>
          <w:rFonts w:hint="eastAsia" w:ascii="宋体" w:hAnsi="宋体" w:eastAsia="宋体" w:cs="宋体"/>
          <w:bCs/>
          <w:sz w:val="24"/>
          <w:szCs w:val="20"/>
          <w:highlight w:val="none"/>
          <w:lang w:eastAsia="zh-CN"/>
        </w:rPr>
        <w:t xml:space="preserve">市域范围内</w:t>
      </w:r>
      <w:r>
        <w:rPr>
          <w:rFonts w:hint="eastAsia" w:ascii="宋体" w:hAnsi="宋体" w:eastAsia="宋体" w:cs="宋体"/>
          <w:bCs/>
          <w:sz w:val="24"/>
          <w:szCs w:val="20"/>
          <w:highlight w:val="none"/>
        </w:rPr>
        <w:t xml:space="preserve">的养老服务机构</w:t>
      </w:r>
      <w:r>
        <w:rPr>
          <w:rFonts w:hint="eastAsia" w:ascii="宋体" w:hAnsi="宋体" w:eastAsia="宋体" w:cs="宋体"/>
          <w:bCs/>
          <w:sz w:val="24"/>
          <w:szCs w:val="20"/>
          <w:highlight w:val="none"/>
          <w:lang w:eastAsia="zh-CN"/>
        </w:rPr>
        <w:t xml:space="preserve">（在泰州市属地民政部门备案、认定的养老机构、社区养老服务设施、助餐点、助浴点等为老服务场所）以及</w:t>
      </w:r>
      <w:r>
        <w:rPr>
          <w:rFonts w:hint="eastAsia" w:ascii="宋体" w:hAnsi="宋体" w:eastAsia="宋体" w:cs="宋体"/>
          <w:bCs/>
          <w:sz w:val="24"/>
          <w:szCs w:val="20"/>
          <w:highlight w:val="none"/>
        </w:rPr>
        <w:t xml:space="preserve">民政部门组织活动、为老年人提供居家养老服务上门期间等其他市民政部门认定的其它活动。</w:t>
      </w:r>
      <w:r/>
    </w:p>
    <w:p>
      <w:pPr>
        <w:ind w:firstLine="482"/>
        <w:keepLines w:val="0"/>
        <w:keepNext w:val="0"/>
        <w:pageBreakBefore w:val="0"/>
        <w:spacing w:line="500" w:lineRule="exact"/>
        <w:widowControl w:val="off"/>
        <w:tabs>
          <w:tab w:val="left" w:pos="1260" w:leader="none"/>
        </w:tabs>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lang w:val="en-US" w:eastAsia="zh-CN"/>
        </w:rPr>
        <w:t xml:space="preserve">三</w:t>
      </w:r>
      <w:r>
        <w:rPr>
          <w:rFonts w:hint="eastAsia" w:ascii="宋体" w:hAnsi="宋体" w:eastAsia="宋体" w:cs="宋体"/>
          <w:b/>
          <w:sz w:val="24"/>
          <w:szCs w:val="24"/>
          <w:highlight w:val="none"/>
        </w:rPr>
        <w:t xml:space="preserve">、其他说明 </w:t>
      </w:r>
      <w:r/>
    </w:p>
    <w:p>
      <w:pPr>
        <w:ind w:firstLine="484"/>
        <w:keepLines w:val="0"/>
        <w:keepNext w:val="0"/>
        <w:pageBreakBefore w:val="0"/>
        <w:spacing w:line="500" w:lineRule="exact"/>
        <w:widowControl w:val="off"/>
        <w:tabs>
          <w:tab w:val="left" w:pos="1260" w:leader="none"/>
        </w:tabs>
        <w:rPr>
          <w:rFonts w:hint="eastAsia" w:ascii="宋体" w:hAnsi="宋体" w:eastAsia="宋体" w:cs="宋体"/>
          <w:color w:val="auto"/>
          <w:sz w:val="24"/>
          <w:szCs w:val="24"/>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评标委员会认为投标人的报价明显</w:t>
      </w:r>
      <w:r>
        <w:rPr>
          <w:rFonts w:hint="eastAsia" w:ascii="宋体" w:hAnsi="宋体" w:eastAsia="宋体" w:cs="宋体"/>
          <w:sz w:val="24"/>
          <w:szCs w:val="24"/>
          <w:highlight w:val="none"/>
          <w:lang w:val="en-US" w:eastAsia="zh-CN"/>
        </w:rPr>
        <w:t xml:space="preserve">高</w:t>
      </w:r>
      <w:r>
        <w:rPr>
          <w:rFonts w:hint="eastAsia" w:ascii="宋体" w:hAnsi="宋体" w:eastAsia="宋体" w:cs="宋体"/>
          <w:sz w:val="24"/>
          <w:szCs w:val="24"/>
          <w:highlight w:val="none"/>
        </w:rPr>
        <w:t xml:space="preserve">于其他通过符合性审查投标人的报价，</w:t>
      </w:r>
      <w:r>
        <w:rPr>
          <w:rFonts w:hint="eastAsia" w:ascii="宋体" w:hAnsi="宋体" w:eastAsia="宋体" w:cs="宋体"/>
          <w:color w:val="auto"/>
          <w:sz w:val="24"/>
          <w:szCs w:val="24"/>
          <w:highlight w:val="none"/>
        </w:rPr>
        <w:t xml:space="preserve">有可能无法诚信履约的，评标委员会有权要求供应商提供书面证</w:t>
      </w:r>
      <w:r>
        <w:rPr>
          <w:rFonts w:hint="eastAsia" w:ascii="宋体" w:hAnsi="宋体" w:eastAsia="宋体" w:cs="宋体"/>
          <w:color w:val="auto"/>
          <w:sz w:val="24"/>
          <w:szCs w:val="24"/>
        </w:rPr>
        <w:t xml:space="preserve">明材料。该供应商不能合理说明原因并提供证明材料，评标委员会有权将该供应商的投标文件作无效标处理。</w:t>
      </w:r>
      <w:r/>
    </w:p>
    <w:p>
      <w:pPr>
        <w:ind w:firstLine="484"/>
        <w:keepLines w:val="0"/>
        <w:keepNext w:val="0"/>
        <w:pageBreakBefore w:val="0"/>
        <w:spacing w:line="500" w:lineRule="exact"/>
        <w:widowControl w:val="off"/>
        <w:tabs>
          <w:tab w:val="left" w:pos="12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供应商应根据国家政策调整规律进行报价，充分考虑服务期内的市场因素和成本变化状况的风险。</w:t>
      </w:r>
      <w:r/>
    </w:p>
    <w:p>
      <w:pPr>
        <w:ind w:firstLine="487"/>
        <w:keepLines w:val="0"/>
        <w:keepNext w:val="0"/>
        <w:pageBreakBefore w:val="0"/>
        <w:spacing w:line="500" w:lineRule="exact"/>
        <w:widowControl w:val="off"/>
        <w:tabs>
          <w:tab w:val="left" w:pos="126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、付款方式</w:t>
      </w:r>
      <w:r/>
    </w:p>
    <w:p>
      <w:pPr>
        <w:ind w:firstLine="480"/>
        <w:keepLines w:val="0"/>
        <w:keepNext w:val="0"/>
        <w:pageBreakBefore w:val="0"/>
        <w:spacing w:line="500" w:lineRule="exact"/>
        <w:widowControl w:val="off"/>
        <w:tabs>
          <w:tab w:val="left" w:pos="420" w:leader="none"/>
          <w:tab w:val="left" w:pos="5035" w:leader="none"/>
        </w:tabs>
        <w:rPr>
          <w:rFonts w:hint="eastAsia" w:ascii="宋体" w:hAnsi="宋体" w:eastAsia="宋体" w:cs="宋体"/>
          <w:bCs/>
          <w:color w:val="auto"/>
          <w:sz w:val="24"/>
          <w:szCs w:val="20"/>
        </w:rPr>
      </w:pPr>
      <w:r>
        <w:rPr>
          <w:rFonts w:hint="eastAsia" w:ascii="宋体" w:hAnsi="宋体" w:eastAsia="宋体" w:cs="宋体"/>
          <w:bCs/>
          <w:color w:val="auto"/>
          <w:sz w:val="24"/>
          <w:szCs w:val="20"/>
        </w:rPr>
        <w:t xml:space="preserve">保险费由甲方共同全额承担，并在乙方开具发票后30个工作日内一次性缴纳</w:t>
      </w:r>
      <w:r>
        <w:rPr>
          <w:rFonts w:hint="eastAsia" w:ascii="宋体" w:hAnsi="宋体" w:eastAsia="宋体" w:cs="宋体"/>
          <w:bCs/>
          <w:color w:val="auto"/>
          <w:sz w:val="24"/>
          <w:szCs w:val="20"/>
          <w:lang w:val="en-US" w:eastAsia="zh-CN"/>
        </w:rPr>
        <w:t xml:space="preserve">年度</w:t>
      </w:r>
      <w:r>
        <w:rPr>
          <w:rFonts w:hint="eastAsia" w:ascii="宋体" w:hAnsi="宋体" w:eastAsia="宋体" w:cs="宋体"/>
          <w:bCs/>
          <w:color w:val="auto"/>
          <w:sz w:val="24"/>
          <w:szCs w:val="20"/>
        </w:rPr>
        <w:t xml:space="preserve">保险费</w:t>
      </w:r>
      <w:r>
        <w:rPr>
          <w:rFonts w:hint="eastAsia" w:ascii="宋体" w:hAnsi="宋体" w:eastAsia="宋体" w:cs="宋体"/>
          <w:bCs/>
          <w:color w:val="auto"/>
          <w:sz w:val="24"/>
          <w:szCs w:val="20"/>
          <w:lang w:val="en-US" w:eastAsia="zh-CN"/>
        </w:rPr>
        <w:t xml:space="preserve">用</w:t>
      </w:r>
      <w:r>
        <w:rPr>
          <w:rFonts w:hint="eastAsia" w:ascii="宋体" w:hAnsi="宋体" w:eastAsia="宋体" w:cs="宋体"/>
          <w:bCs/>
          <w:color w:val="auto"/>
          <w:sz w:val="24"/>
          <w:szCs w:val="20"/>
        </w:rPr>
        <w:t xml:space="preserve">,年度总保费</w:t>
      </w:r>
      <w:r>
        <w:rPr>
          <w:rFonts w:hint="eastAsia" w:ascii="宋体" w:hAnsi="宋体" w:eastAsia="宋体" w:cs="宋体"/>
          <w:bCs/>
          <w:color w:val="auto"/>
          <w:sz w:val="24"/>
          <w:szCs w:val="20"/>
          <w:lang w:val="en-US" w:eastAsia="zh-CN"/>
        </w:rPr>
        <w:t xml:space="preserve">230万元（其中泰州市民政局承担120万元；泰州市慈善总会承担110万元）。</w:t>
      </w:r>
      <w:r/>
    </w:p>
    <w:p>
      <w:pPr>
        <w:ind w:firstLine="480"/>
        <w:keepLines w:val="0"/>
        <w:keepNext w:val="0"/>
        <w:pageBreakBefore w:val="0"/>
        <w:spacing w:line="500" w:lineRule="exact"/>
        <w:widowControl w:val="off"/>
        <w:tabs>
          <w:tab w:val="left" w:pos="4140" w:leader="none"/>
        </w:tabs>
        <w:rPr>
          <w:rFonts w:hint="eastAsia" w:ascii="宋体" w:hAnsi="宋体" w:eastAsia="宋体" w:cs="宋体"/>
          <w:b/>
          <w:color w:val="auto"/>
          <w:sz w:val="24"/>
          <w:szCs w:val="20"/>
        </w:rPr>
        <w:outlineLvl w:val="1"/>
      </w:pPr>
      <w:r>
        <w:rPr>
          <w:rFonts w:hint="eastAsia" w:ascii="宋体" w:hAnsi="宋体" w:eastAsia="宋体" w:cs="宋体"/>
          <w:b/>
          <w:color w:val="auto"/>
          <w:sz w:val="24"/>
          <w:szCs w:val="20"/>
          <w:lang w:val="en-US" w:eastAsia="zh-CN"/>
        </w:rPr>
        <w:t xml:space="preserve">五</w:t>
      </w:r>
      <w:r>
        <w:rPr>
          <w:rFonts w:hint="eastAsia" w:ascii="宋体" w:hAnsi="宋体" w:eastAsia="宋体" w:cs="宋体"/>
          <w:b/>
          <w:color w:val="auto"/>
          <w:sz w:val="24"/>
          <w:szCs w:val="20"/>
        </w:rPr>
        <w:t xml:space="preserve">、服务要求</w:t>
      </w:r>
      <w:r/>
    </w:p>
    <w:p>
      <w:pPr>
        <w:ind w:firstLine="482"/>
        <w:keepLines w:val="0"/>
        <w:keepNext w:val="0"/>
        <w:pageBreakBefore w:val="0"/>
        <w:spacing w:line="500" w:lineRule="exact"/>
        <w:widowControl w:val="off"/>
        <w:tabs>
          <w:tab w:val="left" w:pos="420" w:leader="none"/>
          <w:tab w:val="left" w:pos="5035" w:leader="none"/>
        </w:tabs>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w:t>
      </w:r>
      <w:r>
        <w:rPr>
          <w:rFonts w:hint="eastAsia" w:ascii="宋体" w:hAnsi="宋体" w:eastAsia="宋体" w:cs="宋体"/>
          <w:b/>
          <w:bCs/>
          <w:color w:val="auto"/>
          <w:sz w:val="24"/>
          <w:szCs w:val="20"/>
          <w:lang w:val="en-US" w:eastAsia="zh-CN"/>
        </w:rPr>
        <w:t xml:space="preserve">一</w:t>
      </w:r>
      <w:r>
        <w:rPr>
          <w:rFonts w:hint="eastAsia" w:ascii="宋体" w:hAnsi="宋体" w:eastAsia="宋体" w:cs="宋体"/>
          <w:b/>
          <w:bCs/>
          <w:color w:val="auto"/>
          <w:sz w:val="24"/>
          <w:szCs w:val="20"/>
          <w:lang w:val="zh-CN"/>
        </w:rPr>
        <w:t xml:space="preserve">）成立专项服务小组：</w:t>
      </w:r>
      <w:r/>
    </w:p>
    <w:p>
      <w:pPr>
        <w:ind w:firstLine="480"/>
        <w:keepLines w:val="0"/>
        <w:keepNext w:val="0"/>
        <w:pageBreakBefore w:val="0"/>
        <w:spacing w:line="500" w:lineRule="exact"/>
        <w:widowControl w:val="off"/>
        <w:tabs>
          <w:tab w:val="left" w:pos="420" w:leader="none"/>
          <w:tab w:val="left" w:pos="5035" w:leader="none"/>
        </w:tabs>
        <w:rPr>
          <w:rFonts w:hint="eastAsia"/>
          <w:color w:val="auto"/>
          <w:lang w:val="zh-CN"/>
        </w:rPr>
      </w:pPr>
      <w:r>
        <w:rPr>
          <w:rFonts w:hint="eastAsia" w:ascii="宋体" w:hAnsi="宋体" w:eastAsia="宋体" w:cs="宋体"/>
          <w:bCs/>
          <w:color w:val="auto"/>
          <w:sz w:val="24"/>
          <w:szCs w:val="20"/>
          <w:lang w:val="en-US" w:eastAsia="zh-CN"/>
        </w:rPr>
        <w:t xml:space="preserve">投标人</w:t>
      </w:r>
      <w:r>
        <w:rPr>
          <w:rFonts w:hint="eastAsia" w:ascii="宋体" w:hAnsi="宋体" w:eastAsia="宋体" w:cs="宋体"/>
          <w:bCs/>
          <w:color w:val="auto"/>
          <w:sz w:val="24"/>
          <w:szCs w:val="20"/>
        </w:rPr>
        <w:t xml:space="preserve">应为</w:t>
      </w:r>
      <w:r>
        <w:rPr>
          <w:rFonts w:hint="eastAsia" w:ascii="宋体" w:hAnsi="宋体" w:eastAsia="宋体" w:cs="宋体"/>
          <w:bCs/>
          <w:color w:val="auto"/>
          <w:sz w:val="24"/>
          <w:szCs w:val="20"/>
          <w:lang w:val="en-US" w:eastAsia="zh-CN"/>
        </w:rPr>
        <w:t xml:space="preserve">该</w:t>
      </w:r>
      <w:r>
        <w:rPr>
          <w:rFonts w:hint="eastAsia" w:ascii="宋体" w:hAnsi="宋体" w:eastAsia="宋体" w:cs="宋体"/>
          <w:bCs/>
          <w:color w:val="auto"/>
          <w:sz w:val="24"/>
          <w:szCs w:val="20"/>
        </w:rPr>
        <w:t xml:space="preserve">保险项目设立专项服务小组并确定服务小组的组员，由其为</w:t>
      </w:r>
      <w:r>
        <w:rPr>
          <w:rFonts w:hint="eastAsia" w:ascii="宋体" w:hAnsi="宋体" w:eastAsia="宋体" w:cs="宋体"/>
          <w:bCs/>
          <w:color w:val="auto"/>
          <w:sz w:val="24"/>
          <w:szCs w:val="20"/>
          <w:lang w:val="en-US" w:eastAsia="zh-CN"/>
        </w:rPr>
        <w:t xml:space="preserve">采购人</w:t>
      </w:r>
      <w:r>
        <w:rPr>
          <w:rFonts w:hint="eastAsia" w:ascii="宋体" w:hAnsi="宋体" w:eastAsia="宋体" w:cs="宋体"/>
          <w:bCs/>
          <w:color w:val="auto"/>
          <w:sz w:val="24"/>
          <w:szCs w:val="20"/>
        </w:rPr>
        <w:t xml:space="preserve">提供保险承保、理赔等一系列保险服务。对于服务小组组长的更换，应事先征得</w:t>
      </w:r>
      <w:r>
        <w:rPr>
          <w:rFonts w:hint="eastAsia" w:ascii="宋体" w:hAnsi="宋体" w:eastAsia="宋体" w:cs="宋体"/>
          <w:bCs/>
          <w:color w:val="auto"/>
          <w:sz w:val="24"/>
          <w:szCs w:val="20"/>
          <w:lang w:val="en-US" w:eastAsia="zh-CN"/>
        </w:rPr>
        <w:t xml:space="preserve">采购人</w:t>
      </w:r>
      <w:r>
        <w:rPr>
          <w:rFonts w:hint="eastAsia" w:ascii="宋体" w:hAnsi="宋体" w:eastAsia="宋体" w:cs="宋体"/>
          <w:bCs/>
          <w:color w:val="auto"/>
          <w:sz w:val="24"/>
          <w:szCs w:val="20"/>
        </w:rPr>
        <w:t xml:space="preserve">的同意，对于组员的更换，应及时通知</w:t>
      </w:r>
      <w:r>
        <w:rPr>
          <w:rFonts w:hint="eastAsia" w:ascii="宋体" w:hAnsi="宋体" w:eastAsia="宋体" w:cs="宋体"/>
          <w:bCs/>
          <w:color w:val="auto"/>
          <w:sz w:val="24"/>
          <w:szCs w:val="20"/>
          <w:lang w:val="en-US" w:eastAsia="zh-CN"/>
        </w:rPr>
        <w:t xml:space="preserve">采购人</w:t>
      </w:r>
      <w:r>
        <w:rPr>
          <w:rFonts w:hint="eastAsia" w:ascii="宋体" w:hAnsi="宋体" w:eastAsia="宋体" w:cs="宋体"/>
          <w:bCs/>
          <w:color w:val="auto"/>
          <w:sz w:val="24"/>
          <w:szCs w:val="20"/>
        </w:rPr>
        <w:t xml:space="preserve">。</w:t>
      </w:r>
      <w:r>
        <w:rPr>
          <w:rFonts w:hint="eastAsia" w:ascii="宋体" w:hAnsi="宋体" w:eastAsia="宋体" w:cs="宋体"/>
          <w:bCs/>
          <w:color w:val="auto"/>
          <w:sz w:val="24"/>
          <w:szCs w:val="20"/>
          <w:lang w:val="en-US" w:eastAsia="zh-CN"/>
        </w:rPr>
        <w:t xml:space="preserve">投标人应</w:t>
      </w:r>
      <w:r>
        <w:rPr>
          <w:rFonts w:hint="eastAsia" w:ascii="宋体" w:hAnsi="宋体" w:eastAsia="宋体" w:cs="宋体"/>
          <w:bCs/>
          <w:color w:val="auto"/>
          <w:sz w:val="24"/>
          <w:szCs w:val="20"/>
        </w:rPr>
        <w:t xml:space="preserve">按照约定提供保险理赔服务，有受理理赔材料、理赔咨询、准备理赔材料等义务。保证老年人投保、理赔的顺畅，及时改进和解决保险服务中的问题。</w:t>
      </w:r>
      <w:r/>
    </w:p>
    <w:p>
      <w:pPr>
        <w:ind w:firstLine="482"/>
        <w:keepLines w:val="0"/>
        <w:keepNext w:val="0"/>
        <w:pageBreakBefore w:val="0"/>
        <w:spacing w:line="500" w:lineRule="exact"/>
        <w:widowControl w:val="off"/>
        <w:tabs>
          <w:tab w:val="left" w:pos="420" w:leader="none"/>
          <w:tab w:val="left" w:pos="5035" w:leader="none"/>
        </w:tabs>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w:t>
      </w:r>
      <w:r>
        <w:rPr>
          <w:rFonts w:hint="eastAsia" w:ascii="宋体" w:hAnsi="宋体" w:eastAsia="宋体" w:cs="宋体"/>
          <w:b/>
          <w:bCs/>
          <w:color w:val="auto"/>
          <w:sz w:val="24"/>
          <w:szCs w:val="20"/>
          <w:lang w:val="en-US" w:eastAsia="zh-CN"/>
        </w:rPr>
        <w:t xml:space="preserve">二</w:t>
      </w:r>
      <w:r>
        <w:rPr>
          <w:rFonts w:hint="eastAsia" w:ascii="宋体" w:hAnsi="宋体" w:eastAsia="宋体" w:cs="宋体"/>
          <w:b/>
          <w:bCs/>
          <w:color w:val="auto"/>
          <w:sz w:val="24"/>
          <w:szCs w:val="20"/>
          <w:lang w:val="zh-CN"/>
        </w:rPr>
        <w:t xml:space="preserve">）优化理赔服务流程：</w:t>
      </w:r>
      <w:r/>
    </w:p>
    <w:p>
      <w:pPr>
        <w:ind w:firstLine="480"/>
        <w:keepLines w:val="0"/>
        <w:keepNext w:val="0"/>
        <w:pageBreakBefore w:val="0"/>
        <w:spacing w:line="500" w:lineRule="exact"/>
        <w:widowControl w:val="off"/>
        <w:tabs>
          <w:tab w:val="left" w:pos="420" w:leader="none"/>
          <w:tab w:val="left" w:pos="5035" w:leader="none"/>
        </w:tabs>
        <w:rPr>
          <w:rFonts w:hint="eastAsia" w:ascii="宋体" w:hAnsi="宋体" w:eastAsia="宋体" w:cs="宋体"/>
          <w:b w:val="0"/>
          <w:bCs w:val="0"/>
          <w:color w:val="auto"/>
          <w:sz w:val="24"/>
          <w:szCs w:val="20"/>
          <w:lang w:val="zh-CN"/>
        </w:rPr>
      </w:pPr>
      <w:r>
        <w:rPr>
          <w:rFonts w:hint="eastAsia" w:ascii="宋体" w:hAnsi="宋体" w:eastAsia="宋体" w:cs="宋体"/>
          <w:b w:val="0"/>
          <w:bCs w:val="0"/>
          <w:color w:val="auto"/>
          <w:sz w:val="24"/>
          <w:szCs w:val="20"/>
          <w:lang w:val="zh-CN"/>
        </w:rPr>
        <w:t xml:space="preserve">投标人需具备覆盖</w:t>
      </w:r>
      <w:r>
        <w:rPr>
          <w:rFonts w:hint="eastAsia" w:ascii="宋体" w:hAnsi="宋体" w:eastAsia="宋体" w:cs="宋体"/>
          <w:b w:val="0"/>
          <w:bCs w:val="0"/>
          <w:color w:val="auto"/>
          <w:sz w:val="24"/>
          <w:szCs w:val="20"/>
          <w:lang w:val="en-US" w:eastAsia="zh-CN"/>
        </w:rPr>
        <w:t xml:space="preserve">泰州</w:t>
      </w:r>
      <w:r>
        <w:rPr>
          <w:rFonts w:hint="eastAsia" w:ascii="宋体" w:hAnsi="宋体" w:eastAsia="宋体" w:cs="宋体"/>
          <w:b w:val="0"/>
          <w:bCs w:val="0"/>
          <w:color w:val="auto"/>
          <w:sz w:val="24"/>
          <w:szCs w:val="20"/>
          <w:lang w:val="zh-CN"/>
        </w:rPr>
        <w:t xml:space="preserve">市全域的服务能力，包括但不限于线下服务网点、线上服务平台、24小时服务热线等。并设立专门的服务团队负责本项目理赔服务，完善“线上直赔”服务，扩大直赔覆盖面，优化理赔流程，缩短理赔</w:t>
      </w:r>
      <w:r>
        <w:rPr>
          <w:rFonts w:hint="eastAsia" w:ascii="宋体" w:hAnsi="宋体" w:eastAsia="宋体" w:cs="宋体"/>
          <w:b w:val="0"/>
          <w:bCs w:val="0"/>
          <w:color w:val="auto"/>
          <w:sz w:val="24"/>
          <w:szCs w:val="20"/>
          <w:lang w:val="en-US" w:eastAsia="zh-CN"/>
        </w:rPr>
        <w:t xml:space="preserve">时限</w:t>
      </w:r>
      <w:r>
        <w:rPr>
          <w:rFonts w:hint="eastAsia" w:ascii="宋体" w:hAnsi="宋体" w:eastAsia="宋体" w:cs="宋体"/>
          <w:b w:val="0"/>
          <w:bCs w:val="0"/>
          <w:color w:val="auto"/>
          <w:sz w:val="24"/>
          <w:szCs w:val="20"/>
          <w:lang w:val="zh-CN"/>
        </w:rPr>
        <w:t xml:space="preserve">，为老年人提供便捷的理赔服务。</w:t>
      </w:r>
      <w:r/>
    </w:p>
    <w:p>
      <w:pPr>
        <w:ind w:firstLine="482"/>
        <w:keepLines w:val="0"/>
        <w:keepNext w:val="0"/>
        <w:pageBreakBefore w:val="0"/>
        <w:spacing w:line="500" w:lineRule="exact"/>
        <w:widowControl w:val="off"/>
        <w:tabs>
          <w:tab w:val="left" w:pos="420" w:leader="none"/>
          <w:tab w:val="left" w:pos="5035" w:leader="none"/>
        </w:tabs>
        <w:rPr>
          <w:rFonts w:hint="eastAsia" w:ascii="宋体" w:hAnsi="宋体" w:eastAsia="宋体" w:cs="宋体"/>
          <w:b/>
          <w:bCs/>
          <w:color w:val="auto"/>
          <w:sz w:val="24"/>
          <w:szCs w:val="20"/>
          <w:lang w:val="zh-CN"/>
        </w:rPr>
      </w:pPr>
      <w:r>
        <w:rPr>
          <w:rFonts w:hint="eastAsia" w:ascii="宋体" w:hAnsi="宋体" w:eastAsia="宋体" w:cs="宋体"/>
          <w:b/>
          <w:bCs/>
          <w:color w:val="auto"/>
          <w:sz w:val="24"/>
          <w:szCs w:val="20"/>
          <w:lang w:val="zh-CN"/>
        </w:rPr>
        <w:t xml:space="preserve">（</w:t>
      </w:r>
      <w:r>
        <w:rPr>
          <w:rFonts w:hint="eastAsia" w:ascii="宋体" w:hAnsi="宋体" w:eastAsia="宋体" w:cs="宋体"/>
          <w:b/>
          <w:bCs/>
          <w:color w:val="auto"/>
          <w:sz w:val="24"/>
          <w:szCs w:val="20"/>
          <w:lang w:val="en-US" w:eastAsia="zh-CN"/>
        </w:rPr>
        <w:t xml:space="preserve">三</w:t>
      </w:r>
      <w:r>
        <w:rPr>
          <w:rFonts w:hint="eastAsia" w:ascii="宋体" w:hAnsi="宋体" w:eastAsia="宋体" w:cs="宋体"/>
          <w:b/>
          <w:bCs/>
          <w:color w:val="auto"/>
          <w:sz w:val="24"/>
          <w:szCs w:val="20"/>
          <w:lang w:val="zh-CN"/>
        </w:rPr>
        <w:t xml:space="preserve">）提供理赔服务：</w:t>
      </w:r>
      <w:r/>
    </w:p>
    <w:p>
      <w:pPr>
        <w:ind w:firstLine="480"/>
        <w:keepLines w:val="0"/>
        <w:keepNext w:val="0"/>
        <w:pageBreakBefore w:val="0"/>
        <w:spacing w:line="500" w:lineRule="exact"/>
        <w:widowControl w:val="off"/>
        <w:tabs>
          <w:tab w:val="left" w:pos="420" w:leader="none"/>
          <w:tab w:val="left" w:pos="5035" w:leader="none"/>
        </w:tabs>
        <w:rPr>
          <w:rFonts w:hint="eastAsia" w:ascii="宋体" w:hAnsi="宋体" w:eastAsia="宋体" w:cs="宋体"/>
          <w:b w:val="0"/>
          <w:bCs w:val="0"/>
          <w:color w:val="000000"/>
          <w:sz w:val="24"/>
          <w:szCs w:val="20"/>
          <w:lang w:val="zh-CN"/>
        </w:rPr>
      </w:pPr>
      <w:r>
        <w:rPr>
          <w:rFonts w:hint="eastAsia" w:ascii="宋体" w:hAnsi="宋体" w:eastAsia="宋体" w:cs="宋体"/>
          <w:b w:val="0"/>
          <w:bCs w:val="0"/>
          <w:color w:val="000000"/>
          <w:sz w:val="24"/>
          <w:szCs w:val="20"/>
          <w:lang w:val="en-US" w:eastAsia="zh-CN"/>
        </w:rPr>
        <w:t xml:space="preserve">供应商</w:t>
      </w:r>
      <w:r>
        <w:rPr>
          <w:rFonts w:hint="eastAsia" w:ascii="宋体" w:hAnsi="宋体" w:eastAsia="宋体" w:cs="宋体"/>
          <w:b w:val="0"/>
          <w:bCs w:val="0"/>
          <w:color w:val="000000"/>
          <w:sz w:val="24"/>
          <w:szCs w:val="20"/>
          <w:lang w:val="zh-CN"/>
        </w:rPr>
        <w:t xml:space="preserve">按照约定提供保险理赔服务，有受理理赔材料、理赔咨询、准备理赔材料等义务。</w:t>
      </w:r>
      <w:r/>
    </w:p>
    <w:p>
      <w:pPr>
        <w:ind w:firstLine="482"/>
        <w:keepLines w:val="0"/>
        <w:keepNext w:val="0"/>
        <w:pageBreakBefore w:val="0"/>
        <w:spacing w:line="500" w:lineRule="exact"/>
        <w:widowControl w:val="off"/>
        <w:tabs>
          <w:tab w:val="left" w:pos="420" w:leader="none"/>
          <w:tab w:val="left" w:pos="5035" w:leader="none"/>
        </w:tabs>
        <w:rPr>
          <w:rFonts w:hint="eastAsia"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w:t>
      </w:r>
      <w:r>
        <w:rPr>
          <w:rFonts w:hint="eastAsia" w:ascii="宋体" w:hAnsi="宋体" w:eastAsia="宋体" w:cs="宋体"/>
          <w:b/>
          <w:bCs/>
          <w:color w:val="000000"/>
          <w:sz w:val="24"/>
          <w:szCs w:val="20"/>
          <w:lang w:val="en-US" w:eastAsia="zh-CN"/>
        </w:rPr>
        <w:t xml:space="preserve">四</w:t>
      </w:r>
      <w:r>
        <w:rPr>
          <w:rFonts w:hint="eastAsia" w:ascii="宋体" w:hAnsi="宋体" w:eastAsia="宋体" w:cs="宋体"/>
          <w:b/>
          <w:bCs/>
          <w:color w:val="000000"/>
          <w:sz w:val="24"/>
          <w:szCs w:val="20"/>
          <w:lang w:val="zh-CN"/>
        </w:rPr>
        <w:t xml:space="preserve">）制定保险宣传及培训服务方案：</w:t>
      </w:r>
      <w:r/>
    </w:p>
    <w:p>
      <w:pPr>
        <w:ind w:firstLine="480"/>
        <w:keepLines w:val="0"/>
        <w:keepNext w:val="0"/>
        <w:pageBreakBefore w:val="0"/>
        <w:spacing w:line="500" w:lineRule="exact"/>
        <w:widowControl w:val="off"/>
        <w:tabs>
          <w:tab w:val="left" w:pos="420" w:leader="none"/>
          <w:tab w:val="left" w:pos="5035" w:leader="none"/>
        </w:tabs>
        <w:rPr>
          <w:rFonts w:hint="eastAsia" w:ascii="宋体" w:hAnsi="宋体" w:eastAsia="宋体" w:cs="宋体"/>
          <w:b w:val="0"/>
          <w:bCs w:val="0"/>
          <w:color w:val="000000"/>
          <w:sz w:val="24"/>
          <w:szCs w:val="20"/>
          <w:lang w:val="zh-CN"/>
        </w:rPr>
      </w:pPr>
      <w:r>
        <w:rPr>
          <w:rFonts w:hint="eastAsia" w:ascii="宋体" w:hAnsi="宋体" w:eastAsia="宋体" w:cs="宋体"/>
          <w:b w:val="0"/>
          <w:bCs w:val="0"/>
          <w:color w:val="000000"/>
          <w:sz w:val="24"/>
          <w:szCs w:val="20"/>
          <w:lang w:val="en-US" w:eastAsia="zh-CN"/>
        </w:rPr>
        <w:t xml:space="preserve">1.供应商</w:t>
      </w:r>
      <w:r>
        <w:rPr>
          <w:rFonts w:hint="eastAsia" w:ascii="宋体" w:hAnsi="宋体" w:eastAsia="宋体" w:cs="宋体"/>
          <w:b w:val="0"/>
          <w:bCs w:val="0"/>
          <w:color w:val="000000"/>
          <w:sz w:val="24"/>
          <w:szCs w:val="20"/>
          <w:lang w:val="zh-CN"/>
        </w:rPr>
        <w:t xml:space="preserve">需配合</w:t>
      </w:r>
      <w:r>
        <w:rPr>
          <w:rFonts w:hint="eastAsia" w:ascii="宋体" w:hAnsi="宋体" w:eastAsia="宋体" w:cs="宋体"/>
          <w:b w:val="0"/>
          <w:bCs w:val="0"/>
          <w:color w:val="000000"/>
          <w:sz w:val="24"/>
          <w:szCs w:val="20"/>
          <w:lang w:val="en-US" w:eastAsia="zh-CN"/>
        </w:rPr>
        <w:t xml:space="preserve">采购人</w:t>
      </w:r>
      <w:r>
        <w:rPr>
          <w:rFonts w:hint="eastAsia" w:ascii="宋体" w:hAnsi="宋体" w:eastAsia="宋体" w:cs="宋体"/>
          <w:b w:val="0"/>
          <w:bCs w:val="0"/>
          <w:color w:val="000000"/>
          <w:sz w:val="24"/>
          <w:szCs w:val="20"/>
          <w:lang w:val="zh-CN"/>
        </w:rPr>
        <w:t xml:space="preserve">及相关单位开展老年人意外伤害保险政策宣传工作，通过多种渠道向老年人及其家属宣传保险责任、理赔流程等内容，提高政策知晓率。主要宣传途径和方式有以下几类：</w:t>
      </w:r>
      <w:r/>
    </w:p>
    <w:p>
      <w:pPr>
        <w:ind w:firstLine="480"/>
        <w:keepLines w:val="0"/>
        <w:keepNext w:val="0"/>
        <w:pageBreakBefore w:val="0"/>
        <w:spacing w:line="500" w:lineRule="exact"/>
        <w:widowControl w:val="off"/>
        <w:tabs>
          <w:tab w:val="left" w:pos="420" w:leader="none"/>
          <w:tab w:val="left" w:pos="5035" w:leader="none"/>
        </w:tabs>
        <w:rPr>
          <w:rFonts w:hint="default"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zh-CN"/>
        </w:rPr>
        <w:t xml:space="preserve">（</w:t>
      </w:r>
      <w:r>
        <w:rPr>
          <w:rFonts w:hint="eastAsia" w:ascii="宋体" w:hAnsi="宋体" w:eastAsia="宋体" w:cs="宋体"/>
          <w:b w:val="0"/>
          <w:bCs w:val="0"/>
          <w:color w:val="000000"/>
          <w:sz w:val="24"/>
          <w:szCs w:val="20"/>
          <w:lang w:val="en-US" w:eastAsia="zh-CN"/>
        </w:rPr>
        <w:t xml:space="preserve">1</w:t>
      </w:r>
      <w:r>
        <w:rPr>
          <w:rFonts w:hint="eastAsia" w:ascii="宋体" w:hAnsi="宋体" w:eastAsia="宋体" w:cs="宋体"/>
          <w:b w:val="0"/>
          <w:bCs w:val="0"/>
          <w:color w:val="000000"/>
          <w:sz w:val="24"/>
          <w:szCs w:val="20"/>
          <w:lang w:val="zh-CN"/>
        </w:rPr>
        <w:t xml:space="preserve">）制作通俗易懂的保险理赔手册等宣传资料，在医疗机构等重点场所利用显示屏、公告栏等形式对政策开展广泛宣传，</w:t>
      </w:r>
      <w:r>
        <w:rPr>
          <w:rFonts w:hint="default" w:ascii="宋体" w:hAnsi="宋体" w:eastAsia="宋体" w:cs="宋体"/>
          <w:b w:val="0"/>
          <w:bCs w:val="0"/>
          <w:color w:val="000000"/>
          <w:sz w:val="24"/>
          <w:szCs w:val="20"/>
          <w:lang w:val="en-US" w:eastAsia="zh-CN"/>
        </w:rPr>
        <w:t xml:space="preserve">将老年人意外伤害保险收费标准、保险合同条款以及理赔咨询、投诉电话等进行公示，主动接受社会的监督。</w:t>
      </w:r>
      <w:r/>
    </w:p>
    <w:p>
      <w:pPr>
        <w:ind w:firstLine="480"/>
        <w:keepLines w:val="0"/>
        <w:keepNext w:val="0"/>
        <w:pageBreakBefore w:val="0"/>
        <w:spacing w:line="500" w:lineRule="exact"/>
        <w:widowControl w:val="off"/>
        <w:tabs>
          <w:tab w:val="left" w:pos="420" w:leader="none"/>
          <w:tab w:val="left" w:pos="5035" w:leader="none"/>
        </w:tabs>
        <w:rPr>
          <w:rFonts w:hint="eastAsia" w:ascii="宋体" w:hAnsi="宋体" w:eastAsia="宋体" w:cs="宋体"/>
          <w:b w:val="0"/>
          <w:bCs w:val="0"/>
          <w:color w:val="000000"/>
          <w:sz w:val="24"/>
          <w:szCs w:val="20"/>
          <w:lang w:val="zh-CN" w:eastAsia="zh-CN"/>
        </w:rPr>
      </w:pPr>
      <w:r>
        <w:rPr>
          <w:rFonts w:hint="eastAsia" w:ascii="宋体" w:hAnsi="宋体" w:eastAsia="宋体" w:cs="宋体"/>
          <w:b w:val="0"/>
          <w:bCs w:val="0"/>
          <w:color w:val="000000"/>
          <w:sz w:val="24"/>
          <w:szCs w:val="20"/>
          <w:lang w:val="zh-CN"/>
        </w:rPr>
        <w:t xml:space="preserve">基层镇(街道)和村(社区)工作人员均知晓老年人意外伤害保险，保险理赔手册等宣传资料通过各种途径发放至老年人或其家属手中；</w:t>
      </w:r>
      <w:r/>
    </w:p>
    <w:p>
      <w:pPr>
        <w:ind w:firstLine="480"/>
        <w:keepLines w:val="0"/>
        <w:keepNext w:val="0"/>
        <w:pageBreakBefore w:val="0"/>
        <w:spacing w:line="500" w:lineRule="exact"/>
        <w:widowControl w:val="off"/>
        <w:tabs>
          <w:tab w:val="left" w:pos="420" w:leader="none"/>
          <w:tab w:val="left" w:pos="5035" w:leader="none"/>
        </w:tabs>
        <w:rPr>
          <w:rFonts w:hint="eastAsia" w:ascii="宋体" w:hAnsi="宋体" w:eastAsia="宋体" w:cs="宋体"/>
          <w:b w:val="0"/>
          <w:bCs w:val="0"/>
          <w:color w:val="000000"/>
          <w:sz w:val="24"/>
          <w:szCs w:val="20"/>
          <w:lang w:val="zh-CN"/>
        </w:rPr>
      </w:pPr>
      <w:r>
        <w:rPr>
          <w:rFonts w:hint="eastAsia" w:ascii="宋体" w:hAnsi="宋体" w:eastAsia="宋体" w:cs="宋体"/>
          <w:b w:val="0"/>
          <w:bCs w:val="0"/>
          <w:color w:val="000000"/>
          <w:sz w:val="24"/>
          <w:szCs w:val="20"/>
          <w:lang w:val="zh-CN"/>
        </w:rPr>
        <w:t xml:space="preserve">（</w:t>
      </w:r>
      <w:r>
        <w:rPr>
          <w:rFonts w:hint="eastAsia" w:ascii="宋体" w:hAnsi="宋体" w:eastAsia="宋体" w:cs="宋体"/>
          <w:b w:val="0"/>
          <w:bCs w:val="0"/>
          <w:color w:val="000000"/>
          <w:sz w:val="24"/>
          <w:szCs w:val="20"/>
          <w:lang w:val="en-US" w:eastAsia="zh-CN"/>
        </w:rPr>
        <w:t xml:space="preserve">2</w:t>
      </w:r>
      <w:r>
        <w:rPr>
          <w:rFonts w:hint="eastAsia" w:ascii="宋体" w:hAnsi="宋体" w:eastAsia="宋体" w:cs="宋体"/>
          <w:b w:val="0"/>
          <w:bCs w:val="0"/>
          <w:color w:val="000000"/>
          <w:sz w:val="24"/>
          <w:szCs w:val="20"/>
          <w:lang w:val="zh-CN"/>
        </w:rPr>
        <w:t xml:space="preserve">）负责制作一批宣传海报，在基层镇(街道)和村(社区)以及老年人集中的场所进行张贴；</w:t>
      </w:r>
      <w:r/>
    </w:p>
    <w:p>
      <w:pPr>
        <w:ind w:firstLine="480"/>
        <w:keepLines w:val="0"/>
        <w:keepNext w:val="0"/>
        <w:pageBreakBefore w:val="0"/>
        <w:spacing w:line="500" w:lineRule="exact"/>
        <w:widowControl w:val="off"/>
        <w:tabs>
          <w:tab w:val="left" w:pos="420" w:leader="none"/>
          <w:tab w:val="left" w:pos="5035" w:leader="none"/>
        </w:tabs>
        <w:rPr>
          <w:rFonts w:hint="eastAsia" w:ascii="宋体" w:hAnsi="宋体" w:eastAsia="宋体" w:cs="宋体"/>
          <w:b w:val="0"/>
          <w:bCs w:val="0"/>
          <w:color w:val="000000"/>
          <w:sz w:val="24"/>
          <w:szCs w:val="20"/>
          <w:lang w:val="zh-CN"/>
        </w:rPr>
      </w:pPr>
      <w:r>
        <w:rPr>
          <w:rFonts w:hint="eastAsia" w:ascii="宋体" w:hAnsi="宋体" w:eastAsia="宋体" w:cs="宋体"/>
          <w:b w:val="0"/>
          <w:bCs w:val="0"/>
          <w:color w:val="000000"/>
          <w:sz w:val="24"/>
          <w:szCs w:val="20"/>
          <w:lang w:val="zh-CN"/>
        </w:rPr>
        <w:t xml:space="preserve">（</w:t>
      </w:r>
      <w:r>
        <w:rPr>
          <w:rFonts w:hint="eastAsia" w:ascii="宋体" w:hAnsi="宋体" w:eastAsia="宋体" w:cs="宋体"/>
          <w:b w:val="0"/>
          <w:bCs w:val="0"/>
          <w:color w:val="000000"/>
          <w:sz w:val="24"/>
          <w:szCs w:val="20"/>
          <w:lang w:val="en-US" w:eastAsia="zh-CN"/>
        </w:rPr>
        <w:t xml:space="preserve">3</w:t>
      </w:r>
      <w:r>
        <w:rPr>
          <w:rFonts w:hint="eastAsia" w:ascii="宋体" w:hAnsi="宋体" w:eastAsia="宋体" w:cs="宋体"/>
          <w:b w:val="0"/>
          <w:bCs w:val="0"/>
          <w:color w:val="000000"/>
          <w:sz w:val="24"/>
          <w:szCs w:val="20"/>
          <w:lang w:val="zh-CN"/>
        </w:rPr>
        <w:t xml:space="preserve">）负责对部分需要上门进行宣传的老年人提供入户宣传服务；</w:t>
      </w:r>
      <w:r/>
    </w:p>
    <w:p>
      <w:pPr>
        <w:ind w:firstLine="480"/>
        <w:keepLines w:val="0"/>
        <w:keepNext w:val="0"/>
        <w:pageBreakBefore w:val="0"/>
        <w:spacing w:line="500" w:lineRule="exact"/>
        <w:widowControl w:val="off"/>
        <w:tabs>
          <w:tab w:val="left" w:pos="420" w:leader="none"/>
          <w:tab w:val="left" w:pos="5035" w:leader="none"/>
        </w:tabs>
        <w:rPr>
          <w:rFonts w:hint="eastAsia" w:ascii="宋体" w:hAnsi="宋体" w:eastAsia="宋体" w:cs="宋体"/>
          <w:b w:val="0"/>
          <w:bCs w:val="0"/>
          <w:color w:val="000000"/>
          <w:sz w:val="24"/>
          <w:szCs w:val="20"/>
          <w:lang w:val="zh-CN"/>
        </w:rPr>
      </w:pPr>
      <w:r>
        <w:rPr>
          <w:rFonts w:hint="eastAsia" w:ascii="宋体" w:hAnsi="宋体" w:eastAsia="宋体" w:cs="宋体"/>
          <w:b w:val="0"/>
          <w:bCs w:val="0"/>
          <w:color w:val="000000"/>
          <w:sz w:val="24"/>
          <w:szCs w:val="20"/>
          <w:lang w:val="zh-CN"/>
        </w:rPr>
        <w:t xml:space="preserve">（</w:t>
      </w:r>
      <w:r>
        <w:rPr>
          <w:rFonts w:hint="eastAsia" w:ascii="宋体" w:hAnsi="宋体" w:eastAsia="宋体" w:cs="宋体"/>
          <w:b w:val="0"/>
          <w:bCs w:val="0"/>
          <w:color w:val="000000"/>
          <w:sz w:val="24"/>
          <w:szCs w:val="20"/>
          <w:lang w:val="en-US" w:eastAsia="zh-CN"/>
        </w:rPr>
        <w:t xml:space="preserve">4</w:t>
      </w:r>
      <w:r>
        <w:rPr>
          <w:rFonts w:hint="eastAsia" w:ascii="宋体" w:hAnsi="宋体" w:eastAsia="宋体" w:cs="宋体"/>
          <w:b w:val="0"/>
          <w:bCs w:val="0"/>
          <w:color w:val="000000"/>
          <w:sz w:val="24"/>
          <w:szCs w:val="20"/>
          <w:lang w:val="zh-CN"/>
        </w:rPr>
        <w:t xml:space="preserve">）</w:t>
      </w:r>
      <w:r>
        <w:rPr>
          <w:rFonts w:hint="default" w:ascii="宋体" w:hAnsi="宋体" w:eastAsia="宋体" w:cs="宋体"/>
          <w:b w:val="0"/>
          <w:bCs w:val="0"/>
          <w:color w:val="000000"/>
          <w:sz w:val="24"/>
          <w:szCs w:val="20"/>
          <w:lang w:val="en-US" w:eastAsia="zh-CN"/>
        </w:rPr>
        <w:t xml:space="preserve">在承办片区县(市、区)区域内现场宣传次数每月不低于1次</w:t>
      </w:r>
      <w:r>
        <w:rPr>
          <w:rFonts w:hint="eastAsia" w:ascii="宋体" w:hAnsi="宋体" w:eastAsia="宋体" w:cs="宋体"/>
          <w:b w:val="0"/>
          <w:bCs w:val="0"/>
          <w:color w:val="000000"/>
          <w:sz w:val="24"/>
          <w:szCs w:val="20"/>
          <w:lang w:val="en-US" w:eastAsia="zh-CN"/>
        </w:rPr>
        <w:t xml:space="preserve">；</w:t>
      </w:r>
      <w:r/>
    </w:p>
    <w:p>
      <w:pPr>
        <w:ind w:firstLine="480"/>
        <w:keepLines w:val="0"/>
        <w:keepNext w:val="0"/>
        <w:pageBreakBefore w:val="0"/>
        <w:spacing w:line="500" w:lineRule="exact"/>
        <w:widowControl w:val="off"/>
        <w:tabs>
          <w:tab w:val="left" w:pos="420" w:leader="none"/>
          <w:tab w:val="left" w:pos="5035" w:leader="none"/>
        </w:tabs>
        <w:rPr>
          <w:rFonts w:hint="eastAsia" w:ascii="宋体" w:hAnsi="宋体" w:eastAsia="宋体" w:cs="宋体"/>
          <w:b w:val="0"/>
          <w:bCs w:val="0"/>
          <w:color w:val="000000"/>
          <w:sz w:val="24"/>
          <w:szCs w:val="20"/>
          <w:lang w:val="zh-CN"/>
        </w:rPr>
      </w:pPr>
      <w:r>
        <w:rPr>
          <w:rFonts w:hint="eastAsia" w:ascii="宋体" w:hAnsi="宋体" w:eastAsia="宋体" w:cs="宋体"/>
          <w:b w:val="0"/>
          <w:bCs w:val="0"/>
          <w:color w:val="000000"/>
          <w:sz w:val="24"/>
          <w:szCs w:val="20"/>
          <w:lang w:val="zh-CN"/>
        </w:rPr>
        <w:t xml:space="preserve">（</w:t>
      </w:r>
      <w:r>
        <w:rPr>
          <w:rFonts w:hint="eastAsia" w:ascii="宋体" w:hAnsi="宋体" w:eastAsia="宋体" w:cs="宋体"/>
          <w:b w:val="0"/>
          <w:bCs w:val="0"/>
          <w:color w:val="000000"/>
          <w:sz w:val="24"/>
          <w:szCs w:val="20"/>
          <w:lang w:val="en-US" w:eastAsia="zh-CN"/>
        </w:rPr>
        <w:t xml:space="preserve">5</w:t>
      </w:r>
      <w:r>
        <w:rPr>
          <w:rFonts w:hint="eastAsia" w:ascii="宋体" w:hAnsi="宋体" w:eastAsia="宋体" w:cs="宋体"/>
          <w:b w:val="0"/>
          <w:bCs w:val="0"/>
          <w:color w:val="000000"/>
          <w:sz w:val="24"/>
          <w:szCs w:val="20"/>
          <w:lang w:val="zh-CN"/>
        </w:rPr>
        <w:t xml:space="preserve">）积极探索其他符合实际的宣传方式和途径（</w:t>
      </w:r>
      <w:r>
        <w:rPr>
          <w:rFonts w:hint="eastAsia" w:ascii="宋体" w:hAnsi="宋体" w:eastAsia="宋体" w:cs="宋体"/>
          <w:b w:val="0"/>
          <w:bCs w:val="0"/>
          <w:color w:val="000000"/>
          <w:sz w:val="24"/>
          <w:szCs w:val="20"/>
          <w:lang w:val="en-US" w:eastAsia="zh-CN"/>
        </w:rPr>
        <w:t xml:space="preserve">如线上宣传等</w:t>
      </w:r>
      <w:r>
        <w:rPr>
          <w:rFonts w:hint="eastAsia" w:ascii="宋体" w:hAnsi="宋体" w:eastAsia="宋体" w:cs="宋体"/>
          <w:b w:val="0"/>
          <w:bCs w:val="0"/>
          <w:color w:val="000000"/>
          <w:sz w:val="24"/>
          <w:szCs w:val="20"/>
          <w:lang w:val="zh-CN"/>
        </w:rPr>
        <w:t xml:space="preserve">）。</w:t>
      </w:r>
      <w:r/>
    </w:p>
    <w:p>
      <w:pPr>
        <w:ind w:firstLine="480"/>
        <w:keepLines w:val="0"/>
        <w:keepNext w:val="0"/>
        <w:pageBreakBefore w:val="0"/>
        <w:spacing w:line="500" w:lineRule="exact"/>
        <w:widowControl w:val="off"/>
        <w:tabs>
          <w:tab w:val="left" w:pos="420" w:leader="none"/>
          <w:tab w:val="left" w:pos="5035" w:leader="none"/>
        </w:tabs>
        <w:rPr>
          <w:rFonts w:hint="eastAsia" w:ascii="宋体" w:hAnsi="宋体" w:eastAsia="宋体" w:cs="宋体"/>
          <w:b w:val="0"/>
          <w:bCs w:val="0"/>
          <w:color w:val="000000"/>
          <w:sz w:val="24"/>
          <w:szCs w:val="20"/>
          <w:lang w:val="zh-CN"/>
        </w:rPr>
      </w:pPr>
      <w:r>
        <w:rPr>
          <w:rFonts w:hint="eastAsia" w:ascii="宋体" w:hAnsi="宋体" w:eastAsia="宋体" w:cs="宋体"/>
          <w:b w:val="0"/>
          <w:bCs w:val="0"/>
          <w:color w:val="000000"/>
          <w:sz w:val="24"/>
          <w:szCs w:val="20"/>
          <w:lang w:val="en-US" w:eastAsia="zh-CN"/>
        </w:rPr>
        <w:t xml:space="preserve">2.</w:t>
      </w:r>
      <w:r>
        <w:rPr>
          <w:rFonts w:hint="eastAsia" w:ascii="宋体" w:hAnsi="宋体" w:eastAsia="宋体" w:cs="宋体"/>
          <w:b w:val="0"/>
          <w:bCs w:val="0"/>
          <w:color w:val="000000"/>
          <w:sz w:val="24"/>
          <w:szCs w:val="20"/>
          <w:lang w:val="zh-CN"/>
        </w:rPr>
        <w:t xml:space="preserve">加强对各个服务网点基层人员业务培训工作，建立工作联络调度机制，保险人在每个乡镇街道均应派不少于1名联络员负责对接工作。</w:t>
      </w:r>
      <w:r/>
    </w:p>
    <w:p>
      <w:pPr>
        <w:ind w:firstLine="482"/>
        <w:keepLines w:val="0"/>
        <w:keepNext w:val="0"/>
        <w:pageBreakBefore w:val="0"/>
        <w:spacing w:line="500" w:lineRule="exact"/>
        <w:widowControl w:val="off"/>
        <w:tabs>
          <w:tab w:val="left" w:pos="420" w:leader="none"/>
          <w:tab w:val="left" w:pos="5035" w:leader="none"/>
        </w:tabs>
        <w:rPr>
          <w:rFonts w:hint="eastAsia" w:ascii="宋体" w:hAnsi="宋体" w:eastAsia="宋体" w:cs="宋体"/>
          <w:b/>
          <w:bCs/>
          <w:color w:val="000000"/>
          <w:sz w:val="24"/>
          <w:szCs w:val="20"/>
          <w:lang w:val="zh-CN"/>
        </w:rPr>
      </w:pPr>
      <w:r>
        <w:rPr>
          <w:rFonts w:hint="eastAsia" w:ascii="宋体" w:hAnsi="宋体" w:eastAsia="宋体" w:cs="宋体"/>
          <w:b/>
          <w:bCs/>
          <w:color w:val="000000"/>
          <w:sz w:val="24"/>
          <w:szCs w:val="20"/>
          <w:lang w:val="zh-CN"/>
        </w:rPr>
        <w:t xml:space="preserve">（</w:t>
      </w:r>
      <w:r>
        <w:rPr>
          <w:rFonts w:hint="eastAsia" w:ascii="宋体" w:hAnsi="宋体" w:eastAsia="宋体" w:cs="宋体"/>
          <w:b/>
          <w:bCs/>
          <w:color w:val="000000"/>
          <w:sz w:val="24"/>
          <w:szCs w:val="20"/>
          <w:lang w:val="en-US" w:eastAsia="zh-CN"/>
        </w:rPr>
        <w:t xml:space="preserve">五</w:t>
      </w:r>
      <w:r>
        <w:rPr>
          <w:rFonts w:hint="eastAsia" w:ascii="宋体" w:hAnsi="宋体" w:eastAsia="宋体" w:cs="宋体"/>
          <w:b/>
          <w:bCs/>
          <w:color w:val="000000"/>
          <w:sz w:val="24"/>
          <w:szCs w:val="20"/>
          <w:lang w:val="zh-CN"/>
        </w:rPr>
        <w:t xml:space="preserve">）建立完善数据管理及风险管控：</w:t>
      </w:r>
      <w:r/>
    </w:p>
    <w:p>
      <w:pPr>
        <w:ind w:firstLine="480"/>
        <w:keepLines w:val="0"/>
        <w:keepNext w:val="0"/>
        <w:pageBreakBefore w:val="0"/>
        <w:spacing w:line="500" w:lineRule="exact"/>
        <w:widowControl w:val="off"/>
        <w:tabs>
          <w:tab w:val="left" w:pos="420" w:leader="none"/>
          <w:tab w:val="left" w:pos="5035" w:leader="none"/>
        </w:tabs>
        <w:rPr>
          <w:rFonts w:hint="eastAsia" w:ascii="宋体" w:hAnsi="宋体" w:eastAsia="宋体" w:cs="宋体"/>
          <w:b w:val="0"/>
          <w:bCs w:val="0"/>
          <w:color w:val="000000"/>
          <w:sz w:val="24"/>
          <w:szCs w:val="20"/>
          <w:lang w:val="zh-CN" w:eastAsia="zh-CN"/>
        </w:rPr>
      </w:pPr>
      <w:r>
        <w:rPr>
          <w:rFonts w:hint="eastAsia" w:ascii="宋体" w:hAnsi="宋体" w:eastAsia="宋体" w:cs="宋体"/>
          <w:b w:val="0"/>
          <w:bCs w:val="0"/>
          <w:color w:val="000000"/>
          <w:sz w:val="24"/>
          <w:szCs w:val="20"/>
          <w:lang w:val="en-US" w:eastAsia="zh-CN"/>
        </w:rPr>
        <w:t xml:space="preserve">供应商</w:t>
      </w:r>
      <w:r>
        <w:rPr>
          <w:rFonts w:hint="eastAsia" w:ascii="宋体" w:hAnsi="宋体" w:eastAsia="宋体" w:cs="宋体"/>
          <w:b w:val="0"/>
          <w:bCs w:val="0"/>
          <w:color w:val="000000"/>
          <w:sz w:val="24"/>
          <w:szCs w:val="20"/>
          <w:lang w:val="zh-CN"/>
        </w:rPr>
        <w:t xml:space="preserve">需建立完善的数据管理系统，及时准确记录参保老年人信息、理赔数据等，每月5日前，根据要求提供本项目上一月度完整的理赔数据。每季度、每半年、每年向采购人递交保险业务数据报告，定期反馈本项目的风险隐患并提出整改建议与措施。</w:t>
      </w:r>
      <w:r/>
    </w:p>
    <w:p>
      <w:pPr>
        <w:ind w:firstLine="482"/>
        <w:keepLines w:val="0"/>
        <w:keepNext w:val="0"/>
        <w:pageBreakBefore w:val="0"/>
        <w:spacing w:line="500" w:lineRule="exact"/>
        <w:widowControl w:val="off"/>
        <w:tabs>
          <w:tab w:val="left" w:pos="420" w:leader="none"/>
          <w:tab w:val="left" w:pos="5035" w:leader="none"/>
        </w:tabs>
        <w:rPr>
          <w:rFonts w:hint="eastAsia" w:ascii="宋体" w:hAnsi="宋体" w:eastAsia="宋体" w:cs="宋体"/>
          <w:b/>
          <w:bCs/>
          <w:color w:val="000000"/>
          <w:sz w:val="24"/>
          <w:szCs w:val="20"/>
          <w:lang w:val="en-US" w:eastAsia="zh-CN"/>
        </w:rPr>
      </w:pPr>
      <w:r>
        <w:rPr>
          <w:rFonts w:hint="eastAsia" w:ascii="宋体" w:hAnsi="宋体" w:eastAsia="宋体" w:cs="宋体"/>
          <w:b/>
          <w:bCs/>
          <w:color w:val="000000"/>
          <w:sz w:val="24"/>
          <w:szCs w:val="20"/>
          <w:lang w:val="en-US" w:eastAsia="zh-CN"/>
        </w:rPr>
        <w:t xml:space="preserve">六、其他要求</w:t>
      </w:r>
      <w:r/>
    </w:p>
    <w:p>
      <w:pPr>
        <w:ind w:firstLine="480"/>
        <w:keepLines w:val="0"/>
        <w:keepNext w:val="0"/>
        <w:pageBreakBefore w:val="0"/>
        <w:spacing w:line="500" w:lineRule="exact"/>
        <w:widowControl w:val="off"/>
        <w:tabs>
          <w:tab w:val="left" w:pos="420" w:leader="none"/>
          <w:tab w:val="left" w:pos="5035" w:leader="none"/>
        </w:tabs>
        <w:rPr>
          <w:rFonts w:hint="eastAsia" w:ascii="宋体" w:hAnsi="宋体" w:eastAsia="宋体" w:cs="宋体"/>
          <w:b w:val="0"/>
          <w:bCs w:val="0"/>
          <w:color w:val="000000"/>
          <w:sz w:val="24"/>
          <w:szCs w:val="20"/>
          <w:lang w:val="en-US" w:eastAsia="zh-CN"/>
        </w:rPr>
      </w:pPr>
      <w:r>
        <w:rPr>
          <w:rFonts w:hint="eastAsia" w:ascii="宋体" w:hAnsi="宋体" w:eastAsia="宋体" w:cs="宋体"/>
          <w:b w:val="0"/>
          <w:bCs w:val="0"/>
          <w:color w:val="000000"/>
          <w:sz w:val="24"/>
          <w:szCs w:val="20"/>
          <w:lang w:val="en-US" w:eastAsia="zh-CN"/>
        </w:rPr>
        <w:t xml:space="preserve">中标供应商对采购人提供的业务、技术资料、系统数据、用户数据等应严格保密，中标供应商一律不得私自复制、外泄，更不得擅自用于其他营利项目或提供给第三方。如因中标供应商泄密造成的一切后果由中标供应商承担全部责任。</w:t>
      </w:r>
      <w:r/>
    </w:p>
    <w:p>
      <w:pPr>
        <w:pStyle w:val="763"/>
        <w:numPr>
          <w:ilvl w:val="0"/>
          <w:numId w:val="0"/>
        </w:numPr>
        <w:jc w:val="both"/>
        <w:widowControl w:val="off"/>
        <w:rPr>
          <w:rFonts w:hint="eastAsia"/>
        </w:rPr>
      </w:pPr>
      <w:r>
        <w:rPr>
          <w:rFonts w:hint="eastAsia"/>
        </w:rPr>
      </w:r>
      <w:r/>
    </w:p>
    <w:p>
      <w:pPr>
        <w:pStyle w:val="763"/>
        <w:numPr>
          <w:ilvl w:val="0"/>
          <w:numId w:val="0"/>
        </w:numPr>
        <w:jc w:val="both"/>
        <w:widowControl w:val="off"/>
        <w:rPr>
          <w:rFonts w:hint="eastAsia"/>
        </w:rPr>
      </w:pPr>
      <w:r>
        <w:rPr>
          <w:rFonts w:hint="eastAsia"/>
        </w:rPr>
      </w:r>
      <w:r/>
    </w:p>
    <w:p>
      <w:pPr>
        <w:pStyle w:val="763"/>
        <w:numPr>
          <w:ilvl w:val="0"/>
          <w:numId w:val="0"/>
        </w:numPr>
        <w:jc w:val="both"/>
        <w:widowControl w:val="off"/>
        <w:rPr>
          <w:rFonts w:hint="eastAsia"/>
        </w:rPr>
      </w:pPr>
      <w:r>
        <w:rPr>
          <w:rFonts w:hint="eastAsia"/>
        </w:rPr>
      </w:r>
      <w:r/>
    </w:p>
    <w:p>
      <w:pPr>
        <w:pStyle w:val="763"/>
        <w:numPr>
          <w:ilvl w:val="0"/>
          <w:numId w:val="0"/>
        </w:numPr>
        <w:jc w:val="both"/>
        <w:widowControl w:val="off"/>
        <w:rPr>
          <w:rFonts w:hint="eastAsia"/>
        </w:rPr>
      </w:pPr>
      <w:r>
        <w:rPr>
          <w:rFonts w:hint="eastAsia"/>
        </w:rPr>
      </w:r>
      <w:r/>
    </w:p>
    <w:p>
      <w:pPr>
        <w:pStyle w:val="763"/>
        <w:numPr>
          <w:ilvl w:val="0"/>
          <w:numId w:val="0"/>
        </w:numPr>
        <w:jc w:val="both"/>
        <w:widowControl w:val="off"/>
        <w:rPr>
          <w:rFonts w:hint="eastAsia"/>
        </w:rPr>
      </w:pPr>
      <w:r>
        <w:rPr>
          <w:rFonts w:hint="eastAsia"/>
        </w:rPr>
      </w:r>
      <w:r/>
    </w:p>
    <w:p>
      <w:pPr>
        <w:pStyle w:val="763"/>
        <w:numPr>
          <w:ilvl w:val="0"/>
          <w:numId w:val="0"/>
        </w:numPr>
        <w:jc w:val="both"/>
        <w:widowControl w:val="off"/>
        <w:rPr>
          <w:rFonts w:hint="eastAsia"/>
        </w:rPr>
      </w:pPr>
      <w:r>
        <w:rPr>
          <w:rFonts w:hint="eastAsia"/>
        </w:rPr>
      </w:r>
      <w:r/>
    </w:p>
    <w:p>
      <w:pPr>
        <w:pStyle w:val="763"/>
        <w:numPr>
          <w:ilvl w:val="0"/>
          <w:numId w:val="0"/>
        </w:numPr>
        <w:jc w:val="both"/>
        <w:widowControl w:val="off"/>
        <w:rPr>
          <w:rFonts w:hint="eastAsia"/>
        </w:rPr>
      </w:pPr>
      <w:r>
        <w:rPr>
          <w:rFonts w:hint="eastAsia"/>
        </w:rPr>
      </w:r>
      <w:r/>
    </w:p>
    <w:p>
      <w:pPr>
        <w:pStyle w:val="763"/>
        <w:numPr>
          <w:ilvl w:val="0"/>
          <w:numId w:val="0"/>
        </w:numPr>
        <w:jc w:val="both"/>
        <w:widowControl w:val="off"/>
        <w:rPr>
          <w:rFonts w:hint="eastAsia"/>
        </w:rPr>
      </w:pPr>
      <w:r>
        <w:rPr>
          <w:rFonts w:hint="eastAsia"/>
        </w:rPr>
      </w:r>
      <w:r/>
    </w:p>
    <w:p>
      <w:pPr>
        <w:pStyle w:val="763"/>
        <w:numPr>
          <w:ilvl w:val="0"/>
          <w:numId w:val="0"/>
        </w:numPr>
        <w:jc w:val="both"/>
        <w:widowControl w:val="off"/>
        <w:rPr>
          <w:rFonts w:hint="eastAsia"/>
        </w:rPr>
      </w:pPr>
      <w:r>
        <w:rPr>
          <w:rFonts w:hint="eastAsia"/>
        </w:rPr>
      </w:r>
      <w:r/>
    </w:p>
    <w:p>
      <w:pPr>
        <w:pStyle w:val="763"/>
        <w:numPr>
          <w:ilvl w:val="0"/>
          <w:numId w:val="0"/>
        </w:numPr>
        <w:jc w:val="both"/>
        <w:widowControl w:val="off"/>
        <w:rPr>
          <w:rFonts w:hint="eastAsia"/>
        </w:rPr>
      </w:pPr>
      <w:r>
        <w:rPr>
          <w:rFonts w:hint="eastAsia"/>
        </w:rPr>
      </w:r>
      <w:r/>
    </w:p>
    <w:p>
      <w:pPr>
        <w:pStyle w:val="763"/>
        <w:numPr>
          <w:ilvl w:val="0"/>
          <w:numId w:val="0"/>
        </w:numPr>
        <w:jc w:val="both"/>
        <w:widowControl w:val="off"/>
        <w:rPr>
          <w:rFonts w:hint="eastAsia"/>
        </w:rPr>
      </w:pPr>
      <w:r>
        <w:rPr>
          <w:rFonts w:hint="eastAsia"/>
        </w:rPr>
      </w:r>
      <w:r/>
    </w:p>
    <w:p>
      <w:pPr>
        <w:pStyle w:val="763"/>
        <w:numPr>
          <w:ilvl w:val="0"/>
          <w:numId w:val="0"/>
        </w:numPr>
        <w:jc w:val="both"/>
        <w:widowControl w:val="off"/>
        <w:rPr>
          <w:rFonts w:hint="eastAsia"/>
        </w:rPr>
      </w:pPr>
      <w:r>
        <w:rPr>
          <w:rFonts w:hint="eastAsia"/>
        </w:rPr>
      </w:r>
      <w:r/>
    </w:p>
    <w:p>
      <w:pPr>
        <w:pStyle w:val="763"/>
        <w:numPr>
          <w:ilvl w:val="0"/>
          <w:numId w:val="0"/>
        </w:numPr>
        <w:jc w:val="both"/>
        <w:widowControl w:val="off"/>
        <w:rPr>
          <w:rFonts w:hint="eastAsia"/>
        </w:rPr>
      </w:pPr>
      <w:r>
        <w:rPr>
          <w:rFonts w:hint="eastAsia"/>
        </w:rPr>
      </w:r>
      <w:r/>
    </w:p>
    <w:p>
      <w:pPr>
        <w:pStyle w:val="763"/>
        <w:numPr>
          <w:ilvl w:val="0"/>
          <w:numId w:val="0"/>
        </w:numPr>
        <w:jc w:val="both"/>
        <w:widowControl w:val="off"/>
        <w:rPr>
          <w:rFonts w:hint="eastAsia"/>
        </w:rPr>
      </w:pPr>
      <w:r>
        <w:rPr>
          <w:rFonts w:hint="eastAsia"/>
        </w:rPr>
      </w:r>
      <w:r/>
    </w:p>
    <w:p>
      <w:pPr>
        <w:rPr>
          <w:rFonts w:hint="eastAsia"/>
        </w:rPr>
      </w:pPr>
      <w:r>
        <w:rPr>
          <w:rFonts w:hint="eastAsia"/>
        </w:rPr>
      </w:r>
      <w:r/>
    </w:p>
    <w:p>
      <w:pPr>
        <w:pStyle w:val="763"/>
        <w:rPr>
          <w:rFonts w:hint="eastAsia"/>
        </w:rPr>
      </w:pPr>
      <w:r>
        <w:rPr>
          <w:rFonts w:hint="eastAsia"/>
        </w:rPr>
      </w:r>
      <w:r/>
    </w:p>
    <w:p>
      <w:pPr>
        <w:rPr>
          <w:rFonts w:hint="eastAsia"/>
        </w:rPr>
      </w:pPr>
      <w:r>
        <w:rPr>
          <w:rFonts w:hint="eastAsia"/>
        </w:rPr>
      </w:r>
      <w:r/>
    </w:p>
    <w:p>
      <w:pPr>
        <w:pStyle w:val="763"/>
        <w:rPr>
          <w:rFonts w:hint="eastAsia"/>
        </w:rPr>
      </w:pPr>
      <w:r>
        <w:rPr>
          <w:rFonts w:hint="eastAsia"/>
        </w:rPr>
      </w:r>
      <w:bookmarkEnd w:id="44"/>
      <w:r/>
      <w:r/>
    </w:p>
    <w:p>
      <w:pPr>
        <w:pStyle w:val="954"/>
        <w:numPr>
          <w:ilvl w:val="0"/>
          <w:numId w:val="0"/>
        </w:numPr>
        <w:jc w:val="center"/>
        <w:pageBreakBefore w:val="0"/>
        <w:spacing w:before="0" w:after="0" w:line="480" w:lineRule="exact"/>
        <w:widowControl w:val="off"/>
        <w:rPr>
          <w:rFonts w:hint="eastAsia" w:ascii="宋体" w:hAnsi="宋体" w:eastAsia="宋体" w:cs="宋体"/>
          <w:color w:val="auto"/>
          <w:sz w:val="32"/>
          <w:szCs w:val="32"/>
          <w:highlight w:val="none"/>
        </w:rPr>
      </w:pPr>
      <w:r/>
      <w:bookmarkStart w:id="45" w:name="_Toc409438821"/>
      <w:r/>
      <w:bookmarkStart w:id="46" w:name="_Toc388026588"/>
      <w:r>
        <w:rPr>
          <w:rFonts w:hint="eastAsia" w:ascii="宋体" w:hAnsi="宋体" w:eastAsia="宋体" w:cs="宋体"/>
          <w:b/>
          <w:color w:val="auto"/>
          <w:sz w:val="32"/>
          <w:szCs w:val="32"/>
          <w:highlight w:val="none"/>
        </w:rPr>
        <w:t xml:space="preserve">第四章</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 评标办法及标准</w:t>
      </w:r>
      <w:bookmarkEnd w:id="45"/>
      <w:r/>
      <w:bookmarkEnd w:id="46"/>
      <w:r/>
      <w:r/>
    </w:p>
    <w:p>
      <w:pPr>
        <w:pStyle w:val="1025"/>
        <w:ind w:firstLine="480"/>
        <w:keepLines w:val="0"/>
        <w:keepNext w:val="0"/>
        <w:pageBreakBefore w:val="0"/>
        <w:spacing w:line="480" w:lineRule="exact"/>
        <w:widowControl w:val="off"/>
        <w:rPr>
          <w:rFonts w:hint="eastAsia" w:ascii="宋体" w:hAnsi="宋体" w:eastAsia="宋体" w:cs="宋体"/>
          <w:color w:val="auto"/>
          <w:sz w:val="24"/>
          <w:szCs w:val="18"/>
          <w:highlight w:val="none"/>
        </w:rPr>
      </w:pPr>
      <w:r>
        <w:rPr>
          <w:rFonts w:hint="eastAsia"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本次招标评标采用</w:t>
      </w:r>
      <w:r>
        <w:rPr>
          <w:rFonts w:hint="eastAsia" w:ascii="宋体" w:hAnsi="宋体" w:eastAsia="宋体" w:cs="宋体"/>
          <w:color w:val="auto"/>
          <w:sz w:val="24"/>
          <w:szCs w:val="24"/>
          <w:highlight w:val="none"/>
          <w:u w:val="single"/>
        </w:rPr>
        <w:t xml:space="preserve">综合评分法</w:t>
      </w:r>
      <w:r>
        <w:rPr>
          <w:rFonts w:hint="eastAsia" w:ascii="宋体" w:hAnsi="宋体" w:eastAsia="宋体" w:cs="宋体"/>
          <w:color w:val="auto"/>
          <w:sz w:val="24"/>
          <w:szCs w:val="24"/>
          <w:highlight w:val="none"/>
        </w:rPr>
        <w:t xml:space="preserve">。即在满足招标文件实质性要求前提下，按照招标文件中规定的评分标准和各项因素进行综合评审后，以评标总得分最高的投标人作为中标候选供应商或中标人。</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评标时，评标委员会成员按照招标文件规定的评分标准，独立对每个投标人的投标文件进行评价、打分。价格得分按相关规定的计算公式直接计算取得。评分过程中采用“四舍五入”法，并保留小数点后2位。</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评分标准</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评标采用综合评分法。</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评标考虑的主要因素及其权值：</w:t>
      </w:r>
      <w:r>
        <w:rPr>
          <w:rFonts w:hint="eastAsia" w:ascii="宋体" w:hAnsi="宋体" w:eastAsia="宋体" w:cs="宋体"/>
          <w:color w:val="auto"/>
          <w:sz w:val="24"/>
          <w:szCs w:val="24"/>
          <w:highlight w:val="none"/>
          <w:lang w:val="en-US" w:eastAsia="zh-CN"/>
        </w:rPr>
        <w:t xml:space="preserve">详见评分细则。</w:t>
      </w:r>
      <w:r/>
    </w:p>
    <w:p>
      <w:pPr>
        <w:ind w:firstLine="480"/>
        <w:keepLines w:val="0"/>
        <w:keepNext w:val="0"/>
        <w:pageBreakBefore w:val="0"/>
        <w:spacing w:line="480" w:lineRule="exact"/>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四、</w:t>
      </w:r>
      <w:r>
        <w:rPr>
          <w:rFonts w:hint="eastAsia" w:ascii="宋体" w:hAnsi="宋体" w:eastAsia="宋体" w:cs="宋体"/>
          <w:b w:val="0"/>
          <w:bCs w:val="0"/>
          <w:color w:val="auto"/>
          <w:sz w:val="24"/>
          <w:szCs w:val="24"/>
          <w:highlight w:val="none"/>
        </w:rPr>
        <w:t xml:space="preserve">政府采购政策功能落实</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1.小微型企业价格扣除</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（1）本项目对小型企业和微型企业产品给予10%的价格扣除，用扣除后的价格参与评审。</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（2）供应商需按照采购文件的要求提供相应的《中小企业声明函》。</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（3）企业标准请参照《关于印发中小企业划型标准规定的通知》（工信部联企业[2011]300号）文件规定自行填写。</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（4）在货物采购项目中，</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提供的货物既有中小企业制造货物，也有大型企业制造货物的，不享受本办法规定的中小企业扶持政策。</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5</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4%的价格扣除。</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val="en-US" w:eastAsia="zh-CN" w:bidi="ar"/>
        </w:rPr>
        <w:t xml:space="preserve">6</w:t>
      </w:r>
      <w:r>
        <w:rPr>
          <w:rFonts w:hint="eastAsia" w:ascii="宋体" w:hAnsi="宋体" w:eastAsia="宋体" w:cs="宋体"/>
          <w:color w:val="auto"/>
          <w:sz w:val="24"/>
          <w:highlight w:val="none"/>
          <w:lang w:eastAsia="zh-CN" w:bidi="ar"/>
        </w:rPr>
        <w:t xml:space="preserve">）</w:t>
      </w:r>
      <w:r>
        <w:rPr>
          <w:rFonts w:hint="eastAsia" w:ascii="宋体" w:hAnsi="宋体" w:eastAsia="宋体" w:cs="宋体"/>
          <w:color w:val="auto"/>
          <w:sz w:val="24"/>
          <w:highlight w:val="none"/>
          <w:lang w:bidi="ar"/>
        </w:rPr>
        <w:t xml:space="preserve">以联合体形式参加政府采购活动的，联合体各方均为中小企业的，联合体视同中小企业。其中，联合体各方均为小微企业的，联合体视同小微企业。</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2.残疾人福利单位价格扣除</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（1）本项目对残疾人福利性单位视同小型、微型企业，给予10%的价格扣除，用扣除后的价格参与评审。</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（2）残疾人福利单位需按照采购文件的要求提供《残疾人福利性单位声明函》。</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（3）残疾人福利单位标准请参照《关于促进残疾人就业政府采购政策的通知》（财库〔2017〕141号）。</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3.监狱和戒毒企业价格扣除</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（1）本项目对监狱和戒毒企业（简称监狱企业）视同小型、微型企业，给予10%的价格扣除，用扣除后的价格参与评审。</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（2）监狱企业参加政府采购活动时，需提供由省级以上监狱管理局、戒毒管理局（含新疆生产建设兵团）出具的属于监狱企业的证明文件。</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highlight w:val="none"/>
          <w:lang w:bidi="ar"/>
        </w:rPr>
        <w:t xml:space="preserve">如不提供上述证明文件，价格将不做相应扣除。</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（3）监狱企业标准请参照《关于政府采购支持监狱企业发展有关问题的通知》（财库[2014]68号）。</w:t>
      </w:r>
      <w:r/>
    </w:p>
    <w:p>
      <w:pPr>
        <w:ind w:firstLine="480"/>
        <w:keepLines w:val="0"/>
        <w:keepNext w:val="0"/>
        <w:pageBreakBefore w:val="0"/>
        <w:spacing w:line="480" w:lineRule="exact"/>
        <w:widowControl w:val="off"/>
        <w:tabs>
          <w:tab w:val="left" w:pos="2850" w:leader="none"/>
          <w:tab w:val="center" w:pos="4153"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4.残疾人福利单位、监狱企业属于小型、微型企业的，不重复享受政策。</w:t>
      </w:r>
      <w:r/>
    </w:p>
    <w:p>
      <w:pPr>
        <w:ind w:firstLine="480"/>
        <w:keepLines w:val="0"/>
        <w:keepNext w:val="0"/>
        <w:pageBreakBefore w:val="0"/>
        <w:spacing w:line="480" w:lineRule="exact"/>
        <w:widowControl w:val="off"/>
        <w:tabs>
          <w:tab w:val="left" w:pos="525" w:leader="none"/>
          <w:tab w:val="left" w:pos="840" w:leader="none"/>
          <w:tab w:val="left" w:pos="945" w:leader="none"/>
        </w:tabs>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5.</w:t>
      </w:r>
      <w:r>
        <w:rPr>
          <w:rFonts w:hint="eastAsia" w:ascii="宋体" w:hAnsi="宋体" w:eastAsia="宋体" w:cs="宋体"/>
          <w:bCs/>
          <w:color w:val="auto"/>
          <w:sz w:val="24"/>
          <w:szCs w:val="24"/>
          <w:highlight w:val="none"/>
        </w:rPr>
        <w:t xml:space="preserve">本项目属于</w:t>
      </w:r>
      <w:r>
        <w:rPr>
          <w:rFonts w:hint="eastAsia" w:ascii="宋体" w:hAnsi="宋体" w:eastAsia="宋体" w:cs="宋体"/>
          <w:bCs/>
          <w:color w:val="auto"/>
          <w:sz w:val="24"/>
          <w:szCs w:val="24"/>
          <w:highlight w:val="none"/>
          <w:u w:val="single"/>
        </w:rPr>
        <w:t xml:space="preserve"> 其他未列明行业 </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6.符合本采购文件优先采购 “环境标志产品”或“节能产品”的；必须提供“环境标志产品”或“节能产品”证明，否则不予认可。</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环境标志产品是指列入财政部、生态环境部最新公布的《环境标志产品政府采购清单》内的产品；节能产品是指列入财政部、国家发展和改革委员会最新公布的《节能产品政府采购清单》内的产品。鼓励节能及环保政策以投标（响应）主要（核心）产品（品牌）为准。</w:t>
      </w:r>
      <w:r/>
    </w:p>
    <w:p>
      <w:pPr>
        <w:ind w:firstLine="480"/>
        <w:keepLines w:val="0"/>
        <w:keepNext w:val="0"/>
        <w:pageBreakBefore w:val="0"/>
        <w:spacing w:line="48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7.根据《商品包装政府采购需求标准（试行）》、《快递包装政府采购需求标准（试行）》的通知（财办库[2020]123号要求，商品使用的塑料、纸质、木材等包装需达到环保要求。</w:t>
      </w:r>
      <w:r/>
    </w:p>
    <w:p>
      <w:pPr>
        <w:ind w:firstLine="480"/>
        <w:keepLines w:val="0"/>
        <w:keepNext w:val="0"/>
        <w:pageBreakBefore w:val="0"/>
        <w:spacing w:line="480" w:lineRule="exact"/>
        <w:widowControl w:val="off"/>
        <w:rPr>
          <w:rFonts w:hint="eastAsia" w:ascii="宋体" w:hAnsi="宋体" w:eastAsia="宋体" w:cs="宋体"/>
          <w:bCs/>
          <w:color w:val="auto"/>
          <w:sz w:val="24"/>
          <w:szCs w:val="24"/>
          <w:highlight w:val="none"/>
        </w:rPr>
      </w:pPr>
      <w:r/>
      <w:bookmarkStart w:id="47" w:name="_Hlk147842034"/>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评标内容及评标标准</w:t>
      </w:r>
      <w:bookmarkEnd w:id="47"/>
      <w:r/>
      <w:r/>
    </w:p>
    <w:p>
      <w:pPr>
        <w:ind w:firstLine="482"/>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（一）评分细则</w:t>
      </w:r>
      <w:r/>
    </w:p>
    <w:tbl>
      <w:tblPr>
        <w:tblStyle w:val="735"/>
        <w:tblW w:w="9890" w:type="dxa"/>
        <w:tblInd w:w="-519" w:type="dxa"/>
        <w:tblLayout w:type="fixed"/>
        <w:tblCellMar>
          <w:left w:w="108" w:type="dxa"/>
          <w:top w:w="0" w:type="dxa"/>
          <w:right w:w="108" w:type="dxa"/>
          <w:bottom w:w="0" w:type="dxa"/>
        </w:tblCellMar>
        <w:tblLook w:val="04A0" w:firstRow="1" w:lastRow="0" w:firstColumn="1" w:lastColumn="0" w:noHBand="0" w:noVBand="1"/>
      </w:tblPr>
      <w:tblGrid>
        <w:gridCol w:w="1410"/>
        <w:gridCol w:w="1035"/>
        <w:gridCol w:w="780"/>
        <w:gridCol w:w="3985"/>
        <w:gridCol w:w="2680"/>
      </w:tblGrid>
      <w:tr>
        <w:trPr>
          <w:cantSplit/>
          <w:trHeight w:val="904"/>
        </w:trPr>
        <w:tc>
          <w:tcPr>
            <w:gridSpan w:val="2"/>
            <w:tcBorders>
              <w:top w:val="single" w:color="auto" w:sz="4" w:space="0"/>
              <w:left w:val="single" w:color="auto" w:sz="4" w:space="0"/>
              <w:bottom w:val="single" w:color="auto" w:sz="4" w:space="0"/>
              <w:right w:val="single" w:color="auto" w:sz="4" w:space="0"/>
            </w:tcBorders>
            <w:tcW w:w="244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val="en-US"/>
              </w:rPr>
              <w:suppressLineNumbers w:val="0"/>
            </w:pPr>
            <w:r>
              <w:rPr>
                <w:rFonts w:hint="eastAsia" w:ascii="宋体" w:hAnsi="宋体" w:eastAsia="宋体" w:cs="宋体"/>
                <w:b/>
                <w:bCs/>
                <w:sz w:val="24"/>
                <w:szCs w:val="24"/>
                <w:highlight w:val="none"/>
                <w:lang w:val="en-US" w:eastAsia="zh-CN"/>
              </w:rPr>
              <w:t xml:space="preserve">评分项目</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分值</w:t>
            </w:r>
            <w:r/>
          </w:p>
        </w:tc>
        <w:tc>
          <w:tcPr>
            <w:tcBorders>
              <w:top w:val="single" w:color="auto" w:sz="4" w:space="0"/>
              <w:left w:val="none" w:color="000000" w:sz="4" w:space="0"/>
              <w:bottom w:val="single" w:color="auto" w:sz="4" w:space="0"/>
              <w:right w:val="single" w:color="auto" w:sz="4" w:space="0"/>
            </w:tcBorders>
            <w:tcW w:w="398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评分说明</w:t>
            </w:r>
            <w:r/>
          </w:p>
        </w:tc>
        <w:tc>
          <w:tcPr>
            <w:tcBorders>
              <w:top w:val="single" w:color="auto" w:sz="4" w:space="0"/>
              <w:left w:val="none" w:color="000000" w:sz="4" w:space="0"/>
              <w:bottom w:val="single" w:color="auto" w:sz="4" w:space="0"/>
              <w:right w:val="single" w:color="auto" w:sz="4" w:space="0"/>
            </w:tcBorders>
            <w:tcW w:w="26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备注</w:t>
            </w:r>
            <w:r/>
          </w:p>
        </w:tc>
      </w:tr>
      <w:tr>
        <w:trPr>
          <w:cantSplit/>
          <w:trHeight w:val="1625"/>
        </w:trPr>
        <w:tc>
          <w:tcPr>
            <w:tcBorders>
              <w:top w:val="single" w:color="auto" w:sz="4" w:space="0"/>
              <w:left w:val="single" w:color="auto" w:sz="4" w:space="0"/>
              <w:right w:val="single" w:color="auto" w:sz="4" w:space="0"/>
            </w:tcBorders>
            <w:tcW w:w="141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color w:val="000000"/>
                <w:sz w:val="24"/>
                <w:szCs w:val="24"/>
                <w:lang w:val="en-US" w:eastAsia="zh-CN"/>
              </w:rPr>
              <w:suppressLineNumbers w:val="0"/>
            </w:pPr>
            <w:r>
              <w:rPr>
                <w:rFonts w:hint="eastAsia" w:ascii="宋体" w:hAnsi="宋体" w:eastAsia="宋体" w:cs="宋体"/>
                <w:b/>
                <w:bCs/>
                <w:color w:val="000000"/>
                <w:sz w:val="24"/>
                <w:szCs w:val="24"/>
                <w:lang w:val="en-US" w:eastAsia="zh-CN"/>
              </w:rPr>
              <w:t xml:space="preserve">报价</w:t>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（10分）</w:t>
            </w:r>
            <w:r/>
          </w:p>
        </w:tc>
        <w:tc>
          <w:tcPr>
            <w:tcBorders>
              <w:top w:val="single" w:color="auto" w:sz="4" w:space="0"/>
              <w:left w:val="single" w:color="auto" w:sz="4" w:space="0"/>
              <w:right w:val="single" w:color="auto" w:sz="4" w:space="0"/>
            </w:tcBorders>
            <w:tcW w:w="103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b w:val="0"/>
                <w:bCs w:val="0"/>
                <w:color w:val="000000"/>
                <w:sz w:val="24"/>
                <w:szCs w:val="24"/>
                <w:lang w:val="en-US" w:eastAsia="zh-CN"/>
              </w:rPr>
              <w:t xml:space="preserve">报价</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sz w:val="24"/>
                <w:szCs w:val="24"/>
                <w:highlight w:val="none"/>
                <w:u w:val="none"/>
                <w:lang w:val="en-US" w:eastAsia="zh-CN"/>
              </w:rPr>
              <w:t xml:space="preserve">投标报价得分=（评标基准价/投标报价）×10，小数点后保留2位。</w:t>
            </w:r>
            <w:r/>
          </w:p>
        </w:tc>
        <w:tc>
          <w:tcPr>
            <w:shd w:val="clear" w:color="auto" w:fill="auto"/>
            <w:tcBorders>
              <w:top w:val="single" w:color="auto" w:sz="4" w:space="0"/>
              <w:left w:val="single" w:color="auto" w:sz="4" w:space="0"/>
              <w:right w:val="single" w:color="auto" w:sz="4" w:space="0"/>
            </w:tcBorders>
            <w:tcW w:w="2680" w:type="dxa"/>
            <w:vAlign w:val="center"/>
            <w:textDirection w:val="lrTb"/>
            <w:noWrap w:val="false"/>
          </w:tcPr>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val="en-US" w:eastAsia="zh-CN" w:bidi="ar-SA"/>
              </w:rPr>
              <w:suppressLineNumbers w:val="0"/>
            </w:pPr>
            <w:r>
              <w:rPr>
                <w:rFonts w:hint="eastAsia" w:ascii="宋体" w:hAnsi="宋体" w:eastAsia="宋体" w:cs="宋体"/>
                <w:color w:val="000000"/>
                <w:sz w:val="24"/>
                <w:szCs w:val="24"/>
                <w:lang w:val="en-US" w:eastAsia="zh-CN" w:bidi="ar"/>
              </w:rPr>
              <w:t xml:space="preserve">采用低价优先法计算，即满足招标文件实质性要求且投标价格最低的投标报价为评标基准价，其价格分为满分10分。</w:t>
            </w:r>
            <w:r/>
          </w:p>
        </w:tc>
      </w:tr>
      <w:tr>
        <w:trPr>
          <w:cantSplit/>
          <w:trHeight w:val="2677"/>
        </w:trPr>
        <w:tc>
          <w:tcPr>
            <w:tcBorders>
              <w:top w:val="single" w:color="auto" w:sz="4" w:space="0"/>
              <w:left w:val="single" w:color="auto" w:sz="4" w:space="0"/>
              <w:right w:val="single" w:color="auto" w:sz="4" w:space="0"/>
            </w:tcBorders>
            <w:tcW w:w="1410" w:type="dxa"/>
            <w:vAlign w:val="center"/>
            <w:vMerge w:val="restart"/>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eastAsia="zh-CN"/>
              </w:rPr>
              <w:suppressLineNumbers w:val="0"/>
            </w:pPr>
            <w:r>
              <w:rPr>
                <w:rFonts w:hint="eastAsia" w:ascii="宋体" w:hAnsi="宋体" w:eastAsia="宋体" w:cs="宋体"/>
                <w:b/>
                <w:bCs/>
                <w:sz w:val="24"/>
                <w:szCs w:val="24"/>
                <w:highlight w:val="none"/>
                <w:lang w:eastAsia="zh-CN"/>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eastAsia="zh-CN"/>
              </w:rPr>
              <w:suppressLineNumbers w:val="0"/>
            </w:pPr>
            <w:r>
              <w:rPr>
                <w:rFonts w:hint="eastAsia" w:ascii="宋体" w:hAnsi="宋体" w:eastAsia="宋体" w:cs="宋体"/>
                <w:b/>
                <w:bCs/>
                <w:sz w:val="24"/>
                <w:szCs w:val="24"/>
                <w:highlight w:val="none"/>
                <w:lang w:eastAsia="zh-CN"/>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eastAsia="zh-CN"/>
              </w:rPr>
              <w:suppressLineNumbers w:val="0"/>
            </w:pPr>
            <w:r>
              <w:rPr>
                <w:rFonts w:hint="eastAsia" w:ascii="宋体" w:hAnsi="宋体" w:eastAsia="宋体" w:cs="宋体"/>
                <w:b/>
                <w:bCs/>
                <w:sz w:val="24"/>
                <w:szCs w:val="24"/>
                <w:highlight w:val="none"/>
                <w:lang w:eastAsia="zh-CN"/>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eastAsia="zh-CN"/>
              </w:rPr>
              <w:suppressLineNumbers w:val="0"/>
            </w:pPr>
            <w:r>
              <w:rPr>
                <w:rFonts w:hint="eastAsia" w:ascii="宋体" w:hAnsi="宋体" w:eastAsia="宋体" w:cs="宋体"/>
                <w:b/>
                <w:bCs/>
                <w:sz w:val="24"/>
                <w:szCs w:val="24"/>
                <w:highlight w:val="none"/>
                <w:lang w:eastAsia="zh-CN"/>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eastAsia="zh-CN"/>
              </w:rPr>
              <w:suppressLineNumbers w:val="0"/>
            </w:pPr>
            <w:r>
              <w:rPr>
                <w:rFonts w:hint="eastAsia" w:ascii="宋体" w:hAnsi="宋体" w:eastAsia="宋体" w:cs="宋体"/>
                <w:b/>
                <w:bCs/>
                <w:sz w:val="24"/>
                <w:szCs w:val="24"/>
                <w:highlight w:val="none"/>
                <w:lang w:eastAsia="zh-CN"/>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eastAsia="zh-CN"/>
              </w:rPr>
              <w:suppressLineNumbers w:val="0"/>
            </w:pPr>
            <w:r>
              <w:rPr>
                <w:rFonts w:hint="eastAsia" w:ascii="宋体" w:hAnsi="宋体" w:eastAsia="宋体" w:cs="宋体"/>
                <w:b/>
                <w:bCs/>
                <w:sz w:val="24"/>
                <w:szCs w:val="24"/>
                <w:highlight w:val="none"/>
                <w:lang w:eastAsia="zh-CN"/>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eastAsia="zh-CN"/>
              </w:rPr>
              <w:suppressLineNumbers w:val="0"/>
            </w:pPr>
            <w:r>
              <w:rPr>
                <w:rFonts w:hint="eastAsia" w:ascii="宋体" w:hAnsi="宋体" w:eastAsia="宋体" w:cs="宋体"/>
                <w:b/>
                <w:bCs/>
                <w:sz w:val="24"/>
                <w:szCs w:val="24"/>
                <w:highlight w:val="none"/>
                <w:lang w:eastAsia="zh-CN"/>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eastAsia="zh-CN"/>
              </w:rPr>
              <w:suppressLineNumbers w:val="0"/>
            </w:pPr>
            <w:r>
              <w:rPr>
                <w:rFonts w:hint="eastAsia" w:ascii="宋体" w:hAnsi="宋体" w:eastAsia="宋体" w:cs="宋体"/>
                <w:b/>
                <w:bCs/>
                <w:sz w:val="24"/>
                <w:szCs w:val="24"/>
                <w:highlight w:val="none"/>
                <w:lang w:eastAsia="zh-CN"/>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eastAsia="zh-CN"/>
              </w:rPr>
              <w:suppressLineNumbers w:val="0"/>
            </w:pPr>
            <w:r>
              <w:rPr>
                <w:rFonts w:hint="eastAsia" w:ascii="宋体" w:hAnsi="宋体" w:eastAsia="宋体" w:cs="宋体"/>
                <w:b/>
                <w:bCs/>
                <w:sz w:val="24"/>
                <w:szCs w:val="24"/>
                <w:highlight w:val="none"/>
                <w:lang w:eastAsia="zh-CN"/>
              </w:rPr>
              <w:t xml:space="preserve">综合服务能力</w:t>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lang w:val="en-US" w:eastAsia="zh-CN"/>
              </w:rPr>
              <w:suppressLineNumbers w:val="0"/>
            </w:pPr>
            <w:r>
              <w:rPr>
                <w:rFonts w:hint="eastAsia" w:ascii="宋体" w:hAnsi="宋体" w:eastAsia="宋体" w:cs="宋体"/>
                <w:b/>
                <w:bCs/>
                <w:sz w:val="24"/>
                <w:szCs w:val="24"/>
                <w:highlight w:val="none"/>
                <w:lang w:val="en-US" w:eastAsia="zh-CN"/>
              </w:rPr>
              <w:t xml:space="preserve">（36分）</w:t>
            </w:r>
            <w:r/>
          </w:p>
          <w:p>
            <w:pPr>
              <w:ind w:left="0" w:right="0" w:firstLine="0"/>
              <w:jc w:val="center"/>
              <w:keepLines/>
              <w:keepNext/>
              <w:pageBreakBefore w:val="0"/>
              <w:spacing w:before="0" w:beforeAutospacing="0" w:after="0" w:afterAutospacing="0" w:line="280" w:lineRule="exact"/>
              <w:widowControl/>
              <w:tabs>
                <w:tab w:val="left" w:pos="247" w:leader="none"/>
              </w:tabs>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lang w:eastAsia="zh-CN"/>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rPr>
              <w:t xml:space="preserve">综合偿付能力</w:t>
            </w:r>
            <w:r>
              <w:rPr>
                <w:rFonts w:hint="eastAsia" w:ascii="宋体" w:hAnsi="宋体" w:eastAsia="宋体" w:cs="宋体"/>
                <w:sz w:val="24"/>
                <w:szCs w:val="24"/>
                <w:highlight w:val="none"/>
                <w:lang w:eastAsia="zh-CN"/>
              </w:rPr>
              <w:t xml:space="preserve">充足率</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10</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投标人总公司2025年第3季度（截止采购公告发布之前最新）综合偿付能力充足率≥240%的得10分；</w:t>
            </w:r>
            <w:r/>
          </w:p>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240%＞综合偿付能力充足率≥210%的得8分；</w:t>
            </w:r>
            <w:r/>
          </w:p>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210%＞综合偿付能力充足率≥180%的得6分；</w:t>
            </w:r>
            <w:r/>
          </w:p>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低于180%得4分；</w:t>
            </w:r>
            <w:r/>
          </w:p>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sz w:val="24"/>
                <w:szCs w:val="24"/>
                <w:highlight w:val="none"/>
                <w:lang w:val="en-US" w:eastAsia="zh-CN" w:bidi="ar-SA"/>
              </w:rPr>
              <w:t xml:space="preserve">未提供或者未披露都不得分。</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提供投标人总公司在中国保险行业协会网站上公开披露的2025年第3季度综合偿付能力充足率截图或者保险监督管理机构监管信息系统截图，并加盖公章。</w:t>
            </w:r>
            <w:r/>
          </w:p>
        </w:tc>
      </w:tr>
      <w:tr>
        <w:trPr>
          <w:cantSplit/>
          <w:trHeight w:val="2130"/>
        </w:trPr>
        <w:tc>
          <w:tcPr>
            <w:tcBorders>
              <w:left w:val="single" w:color="auto" w:sz="4" w:space="0"/>
              <w:right w:val="single" w:color="auto" w:sz="4" w:space="0"/>
            </w:tcBorders>
            <w:tcW w:w="1410" w:type="dxa"/>
            <w:vAlign w:val="center"/>
            <w:vMerge w:val="continue"/>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eastAsia="zh-CN"/>
              </w:rPr>
              <w:suppressLineNumbers w:val="0"/>
            </w:pPr>
            <w:r>
              <w:rPr>
                <w:rFonts w:hint="eastAsia" w:ascii="宋体" w:hAnsi="宋体" w:eastAsia="宋体" w:cs="宋体"/>
                <w:b w:val="0"/>
                <w:bCs w:val="0"/>
                <w:sz w:val="24"/>
                <w:szCs w:val="24"/>
                <w:highlight w:val="none"/>
                <w:lang w:val="en-US" w:eastAsia="zh-CN"/>
              </w:rPr>
              <w:t xml:space="preserve">风险综合评级</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b/>
                <w:bCs/>
                <w:color w:val="000000"/>
                <w:sz w:val="24"/>
                <w:szCs w:val="24"/>
                <w:highlight w:val="none"/>
                <w:lang w:val="en-US" w:eastAsia="zh-CN"/>
              </w:rPr>
              <w:suppressLineNumbers w:val="0"/>
            </w:pPr>
            <w:r>
              <w:rPr>
                <w:rFonts w:hint="eastAsia" w:ascii="宋体" w:hAnsi="宋体" w:eastAsia="宋体" w:cs="宋体"/>
                <w:sz w:val="24"/>
                <w:szCs w:val="24"/>
                <w:highlight w:val="none"/>
                <w:lang w:eastAsia="zh-CN"/>
              </w:rPr>
              <w:t xml:space="preserve">投标人总公司202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年</w:t>
            </w:r>
            <w:r>
              <w:rPr>
                <w:rFonts w:hint="eastAsia" w:ascii="宋体" w:hAnsi="宋体" w:eastAsia="宋体" w:cs="宋体"/>
                <w:sz w:val="24"/>
                <w:szCs w:val="24"/>
                <w:highlight w:val="none"/>
                <w:lang w:val="en-US" w:eastAsia="zh-CN"/>
              </w:rPr>
              <w:t xml:space="preserve">第2</w:t>
            </w:r>
            <w:r>
              <w:rPr>
                <w:rFonts w:hint="eastAsia" w:ascii="宋体" w:hAnsi="宋体" w:eastAsia="宋体" w:cs="宋体"/>
                <w:sz w:val="24"/>
                <w:szCs w:val="24"/>
                <w:highlight w:val="none"/>
                <w:lang w:eastAsia="zh-CN"/>
              </w:rPr>
              <w:t xml:space="preserve">季度（</w:t>
            </w:r>
            <w:r>
              <w:rPr>
                <w:rFonts w:hint="eastAsia" w:ascii="宋体" w:hAnsi="宋体" w:eastAsia="宋体" w:cs="宋体"/>
                <w:sz w:val="24"/>
                <w:szCs w:val="24"/>
                <w:highlight w:val="none"/>
                <w:lang w:val="en-US" w:eastAsia="zh-CN"/>
              </w:rPr>
              <w:t xml:space="preserve">截止采购公告发布之前最新</w:t>
            </w:r>
            <w:r>
              <w:rPr>
                <w:rFonts w:hint="eastAsia" w:ascii="宋体" w:hAnsi="宋体" w:eastAsia="宋体" w:cs="宋体"/>
                <w:sz w:val="24"/>
                <w:szCs w:val="24"/>
                <w:highlight w:val="none"/>
                <w:lang w:eastAsia="zh-CN"/>
              </w:rPr>
              <w:t xml:space="preserve">）风险综合评级</w:t>
            </w:r>
            <w:r>
              <w:rPr>
                <w:rFonts w:hint="eastAsia" w:ascii="宋体" w:hAnsi="宋体" w:eastAsia="宋体" w:cs="宋体"/>
                <w:i w:val="0"/>
                <w:iCs w:val="0"/>
                <w:color w:val="000000"/>
                <w:sz w:val="24"/>
                <w:szCs w:val="24"/>
                <w:u w:val="none"/>
                <w:lang w:val="en-US" w:eastAsia="zh-CN" w:bidi="ar-SA"/>
              </w:rPr>
              <w:t xml:space="preserve">A类得10分、B类得7分，B类以下得4分</w:t>
            </w:r>
            <w:r>
              <w:rPr>
                <w:rFonts w:hint="eastAsia" w:ascii="宋体" w:hAnsi="宋体" w:eastAsia="宋体" w:cs="宋体"/>
                <w:sz w:val="24"/>
                <w:szCs w:val="24"/>
              </w:rPr>
              <w:t xml:space="preserve">，</w:t>
            </w:r>
            <w:r>
              <w:rPr>
                <w:rFonts w:hint="eastAsia" w:ascii="宋体" w:hAnsi="宋体" w:eastAsia="宋体" w:cs="宋体"/>
                <w:sz w:val="24"/>
                <w:szCs w:val="24"/>
                <w:highlight w:val="none"/>
                <w:lang w:val="en-US" w:eastAsia="zh-CN" w:bidi="ar-SA"/>
              </w:rPr>
              <w:t xml:space="preserve">未提供或者未披露都不得分。</w:t>
            </w:r>
            <w:r/>
          </w:p>
        </w:tc>
        <w:tc>
          <w:tcPr>
            <w:shd w:val="clear" w:color="auto" w:fill="auto"/>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提供投标人总公司在中国保险行业协会网站上公开披露的2025年第2季度风险综合评级截图或者保险监督管理机构监管信息系统截图，并加盖公章。</w:t>
            </w:r>
            <w:r/>
          </w:p>
        </w:tc>
      </w:tr>
      <w:tr>
        <w:trPr>
          <w:cantSplit/>
          <w:trHeight w:val="2645"/>
        </w:trPr>
        <w:tc>
          <w:tcPr>
            <w:tcBorders>
              <w:left w:val="single" w:color="auto" w:sz="4" w:space="0"/>
              <w:right w:val="single" w:color="auto" w:sz="4" w:space="0"/>
            </w:tcBorders>
            <w:tcW w:w="1410" w:type="dxa"/>
            <w:vAlign w:val="center"/>
            <w:vMerge w:val="continue"/>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项目服务经验</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8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lang w:eastAsia="zh-CN"/>
              </w:rPr>
              <w:t xml:space="preserve">投标人自2024年1月1日至今（以合同签订时间为准）以政府采购方式承保的保险项目（不含车险），每提供一个符合要求的项目业绩得1分，本项最高得10分，未提供不得分。</w:t>
            </w:r>
            <w:r/>
          </w:p>
          <w:p>
            <w:pPr>
              <w:numPr>
                <w:ilvl w:val="0"/>
                <w:numId w:val="0"/>
              </w:numPr>
              <w:ind w:left="0" w:right="0" w:firstLine="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注：同一采购人（投保人）的同一项目不同年度服务经验只计一次，不重复计分。</w:t>
            </w:r>
            <w:r/>
          </w:p>
        </w:tc>
        <w:tc>
          <w:tcPr>
            <w:shd w:val="clear" w:color="auto" w:fill="auto"/>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color w:val="auto"/>
                <w:sz w:val="24"/>
                <w:szCs w:val="24"/>
                <w:highlight w:val="none"/>
              </w:rPr>
              <w:t xml:space="preserve">提供</w:t>
            </w:r>
            <w:r>
              <w:rPr>
                <w:rFonts w:hint="eastAsia" w:ascii="宋体" w:hAnsi="宋体" w:eastAsia="宋体" w:cs="宋体"/>
                <w:b w:val="0"/>
                <w:bCs w:val="0"/>
                <w:color w:val="auto"/>
                <w:sz w:val="24"/>
                <w:szCs w:val="24"/>
                <w:highlight w:val="none"/>
                <w:lang w:val="en-US" w:eastAsia="zh-CN"/>
              </w:rPr>
              <w:t xml:space="preserve">政府采购网项目采购公告截图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中标公告截图、政府采购合同，中标信息需与投标人身份一致，</w:t>
            </w:r>
            <w:r>
              <w:rPr>
                <w:rFonts w:hint="eastAsia" w:ascii="宋体" w:hAnsi="宋体" w:eastAsia="宋体" w:cs="宋体"/>
                <w:b w:val="0"/>
                <w:bCs w:val="0"/>
                <w:color w:val="auto"/>
                <w:sz w:val="24"/>
                <w:szCs w:val="24"/>
                <w:highlight w:val="none"/>
              </w:rPr>
              <w:t xml:space="preserve">加盖</w:t>
            </w:r>
            <w:r>
              <w:rPr>
                <w:rFonts w:hint="eastAsia" w:ascii="宋体" w:hAnsi="宋体" w:eastAsia="宋体" w:cs="宋体"/>
                <w:b w:val="0"/>
                <w:bCs w:val="0"/>
                <w:color w:val="auto"/>
                <w:sz w:val="24"/>
                <w:szCs w:val="24"/>
                <w:highlight w:val="none"/>
                <w:lang w:eastAsia="zh-CN"/>
              </w:rPr>
              <w:t xml:space="preserve">投标人</w:t>
            </w:r>
            <w:r>
              <w:rPr>
                <w:rFonts w:hint="eastAsia" w:ascii="宋体" w:hAnsi="宋体" w:eastAsia="宋体" w:cs="宋体"/>
                <w:b w:val="0"/>
                <w:bCs w:val="0"/>
                <w:color w:val="auto"/>
                <w:sz w:val="24"/>
                <w:szCs w:val="24"/>
                <w:highlight w:val="none"/>
              </w:rPr>
              <w:t xml:space="preserve">公章，</w:t>
            </w:r>
            <w:r>
              <w:rPr>
                <w:rFonts w:hint="eastAsia" w:ascii="宋体" w:hAnsi="宋体" w:eastAsia="宋体" w:cs="宋体"/>
                <w:b w:val="0"/>
                <w:bCs w:val="0"/>
                <w:color w:val="auto"/>
                <w:sz w:val="24"/>
                <w:szCs w:val="24"/>
                <w:highlight w:val="none"/>
                <w:lang w:val="en-US" w:eastAsia="zh-CN"/>
              </w:rPr>
              <w:t xml:space="preserve">未按上述要求提供的</w:t>
            </w:r>
            <w:r>
              <w:rPr>
                <w:rFonts w:hint="eastAsia" w:ascii="宋体" w:hAnsi="宋体" w:eastAsia="宋体" w:cs="宋体"/>
                <w:b w:val="0"/>
                <w:bCs w:val="0"/>
                <w:color w:val="auto"/>
                <w:sz w:val="24"/>
                <w:szCs w:val="24"/>
                <w:highlight w:val="none"/>
              </w:rPr>
              <w:t xml:space="preserve">不得分。</w:t>
            </w:r>
            <w:r/>
          </w:p>
        </w:tc>
      </w:tr>
      <w:tr>
        <w:trPr>
          <w:cantSplit/>
          <w:trHeight w:val="1711"/>
        </w:trPr>
        <w:tc>
          <w:tcPr>
            <w:tcBorders>
              <w:left w:val="single" w:color="auto" w:sz="4" w:space="0"/>
              <w:bottom w:val="single" w:color="auto" w:sz="4" w:space="0"/>
              <w:right w:val="single" w:color="auto" w:sz="4" w:space="0"/>
            </w:tcBorders>
            <w:tcW w:w="1410" w:type="dxa"/>
            <w:vAlign w:val="center"/>
            <w:vMerge w:val="continue"/>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03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服务团队配备</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6</w:t>
            </w:r>
            <w:r/>
          </w:p>
        </w:tc>
        <w:tc>
          <w:tcPr>
            <w:tcBorders>
              <w:top w:val="single" w:color="auto" w:sz="4" w:space="0"/>
              <w:left w:val="single" w:color="auto" w:sz="4" w:space="0"/>
              <w:bottom w:val="single" w:color="auto" w:sz="4" w:space="0"/>
              <w:right w:val="single" w:color="auto" w:sz="4" w:space="0"/>
            </w:tcBorders>
            <w:tcW w:w="3985" w:type="dxa"/>
            <w:vAlign w:val="center"/>
            <w:textDirection w:val="lrTb"/>
            <w:noWrap w:val="false"/>
          </w:tcPr>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bidi="ar-SA"/>
              </w:rPr>
              <w:t xml:space="preserve">投标人为本项目配备相对固定且专业的服务团队，服务团队人员不少于6人，且至少有2年保险从业经验，满分6分，每缺少一人扣1分，不提供不得分。</w:t>
            </w:r>
            <w:r/>
          </w:p>
        </w:tc>
        <w:tc>
          <w:tcPr>
            <w:tcBorders>
              <w:top w:val="single" w:color="auto" w:sz="4" w:space="0"/>
              <w:left w:val="single" w:color="auto" w:sz="4" w:space="0"/>
              <w:bottom w:val="single" w:color="auto" w:sz="4" w:space="0"/>
              <w:right w:val="single" w:color="auto" w:sz="4" w:space="0"/>
            </w:tcBorders>
            <w:tcW w:w="2680" w:type="dxa"/>
            <w:vAlign w:val="center"/>
            <w:textDirection w:val="lrTb"/>
            <w:noWrap w:val="false"/>
          </w:tcPr>
          <w:p>
            <w:pPr>
              <w:numPr>
                <w:ilvl w:val="0"/>
                <w:numId w:val="0"/>
              </w:numPr>
              <w:ind w:left="0" w:right="0"/>
              <w:jc w:val="left"/>
              <w:keepLines/>
              <w:keepNext/>
              <w:pageBreakBefore w:val="0"/>
              <w:spacing w:before="0" w:beforeAutospacing="0" w:after="0" w:afterAutospacing="0" w:line="280" w:lineRule="exact"/>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提供人员信息清单及团队人员有2年保险从业经验的证明材料，并加盖公章。</w:t>
            </w:r>
            <w:r/>
          </w:p>
        </w:tc>
      </w:tr>
      <w:tr>
        <w:trPr>
          <w:cantSplit/>
          <w:trHeight w:val="1993"/>
        </w:trPr>
        <w:tc>
          <w:tcPr>
            <w:tcBorders>
              <w:top w:val="single" w:color="auto" w:sz="4" w:space="0"/>
              <w:left w:val="single" w:color="auto" w:sz="4" w:space="0"/>
              <w:bottom w:val="single" w:color="auto" w:sz="4" w:space="0"/>
              <w:right w:val="single" w:color="auto" w:sz="4" w:space="0"/>
            </w:tcBorders>
            <w:tcW w:w="1410" w:type="dxa"/>
            <w:vAlign w:val="center"/>
            <w:vMerge w:val="restart"/>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t xml:space="preserve">服务方案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54</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rPr>
            </w:r>
            <w:r/>
          </w:p>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承保服务</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3985" w:type="dxa"/>
            <w:vAlign w:val="center"/>
            <w:textDirection w:val="lrTb"/>
            <w:noWrap w:val="false"/>
          </w:tcPr>
          <w:p>
            <w:pPr>
              <w:numPr>
                <w:ilvl w:val="0"/>
                <w:numId w:val="0"/>
              </w:numPr>
              <w:ind w:left="0" w:right="0"/>
              <w:jc w:val="left"/>
              <w:keepLines/>
              <w:keepNext/>
              <w:pageBreakBefore w:val="0"/>
              <w:spacing w:before="0" w:beforeAutospacing="0" w:after="0" w:afterAutospacing="0" w:line="28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投标人围绕项目特点，提供承保服务方案，包括承保内容、承保流程、承保方式、承保制度等。每提供一条得1.5分，满分6分。</w:t>
            </w:r>
            <w:r/>
          </w:p>
          <w:p>
            <w:pPr>
              <w:numPr>
                <w:ilvl w:val="0"/>
                <w:numId w:val="0"/>
              </w:numPr>
              <w:ind w:left="0" w:right="0"/>
              <w:jc w:val="left"/>
              <w:keepLines/>
              <w:keepNext/>
              <w:pageBreakBefore w:val="0"/>
              <w:spacing w:before="0" w:beforeAutospacing="0" w:after="0" w:afterAutospacing="0" w:line="28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未提供不得分。</w:t>
            </w:r>
            <w:r/>
          </w:p>
        </w:tc>
        <w:tc>
          <w:tcPr>
            <w:tcBorders>
              <w:top w:val="single" w:color="auto" w:sz="4" w:space="0"/>
              <w:left w:val="none" w:color="000000" w:sz="4" w:space="0"/>
              <w:bottom w:val="single" w:color="auto" w:sz="4" w:space="0"/>
              <w:right w:val="single" w:color="auto" w:sz="4" w:space="0"/>
            </w:tcBorders>
            <w:tcW w:w="2680" w:type="dxa"/>
            <w:vAlign w:val="center"/>
            <w:textDirection w:val="lrTb"/>
            <w:noWrap w:val="false"/>
          </w:tcPr>
          <w:p>
            <w:pPr>
              <w:numPr>
                <w:ilvl w:val="0"/>
                <w:numId w:val="0"/>
              </w:numPr>
              <w:ind w:left="0" w:right="0"/>
              <w:jc w:val="left"/>
              <w:keepLines/>
              <w:keepNext/>
              <w:pageBreakBefore w:val="0"/>
              <w:spacing w:before="0" w:beforeAutospacing="0" w:after="0" w:afterAutospacing="0" w:line="280" w:lineRule="exact"/>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提供方案，格式自拟，加盖投标人公章。</w:t>
            </w:r>
            <w:r/>
          </w:p>
        </w:tc>
      </w:tr>
      <w:tr>
        <w:trPr>
          <w:cantSplit/>
          <w:trHeight w:val="1920"/>
        </w:trPr>
        <w:tc>
          <w:tcPr>
            <w:tcBorders>
              <w:top w:val="single" w:color="auto" w:sz="4" w:space="0"/>
              <w:left w:val="single" w:color="auto" w:sz="4" w:space="0"/>
              <w:right w:val="single" w:color="auto" w:sz="4" w:space="0"/>
            </w:tcBorders>
            <w:tcW w:w="1410" w:type="dxa"/>
            <w:vAlign w:val="center"/>
            <w:vMerge w:val="continue"/>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Borders>
              <w:top w:val="single" w:color="auto" w:sz="4" w:space="0"/>
              <w:left w:val="none" w:color="000000" w:sz="4" w:space="0"/>
              <w:right w:val="single" w:color="auto" w:sz="4" w:space="0"/>
            </w:tcBorders>
            <w:tcW w:w="103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理赔服务</w:t>
            </w:r>
            <w:r/>
          </w:p>
        </w:tc>
        <w:tc>
          <w:tcPr>
            <w:tcBorders>
              <w:top w:val="single" w:color="auto" w:sz="4" w:space="0"/>
              <w:left w:val="none" w:color="000000" w:sz="4" w:space="0"/>
              <w:right w:val="single" w:color="auto" w:sz="4" w:space="0"/>
            </w:tcBorders>
            <w:tcW w:w="7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8</w:t>
            </w:r>
            <w:r/>
          </w:p>
        </w:tc>
        <w:tc>
          <w:tcPr>
            <w:tcBorders>
              <w:top w:val="single" w:color="auto" w:sz="4" w:space="0"/>
              <w:left w:val="none" w:color="000000" w:sz="4" w:space="0"/>
              <w:right w:val="single" w:color="auto" w:sz="4" w:space="0"/>
            </w:tcBorders>
            <w:tcW w:w="3985" w:type="dxa"/>
            <w:vAlign w:val="center"/>
            <w:textDirection w:val="lrTb"/>
            <w:noWrap w:val="false"/>
          </w:tcPr>
          <w:p>
            <w:pPr>
              <w:numPr>
                <w:ilvl w:val="0"/>
                <w:numId w:val="0"/>
              </w:numPr>
              <w:ind w:left="0" w:right="0"/>
              <w:jc w:val="left"/>
              <w:keepLines/>
              <w:keepNext/>
              <w:pageBreakBefore w:val="0"/>
              <w:spacing w:before="0" w:beforeAutospacing="0" w:after="0" w:afterAutospacing="0" w:line="28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投标人围绕项目特点，提供完善的理赔服务方案，包括建立理赔绿色通道、组建专项理赔服务团队、小额快速理赔、理赔预付制度。每提供一条得2分，满分8分。</w:t>
            </w:r>
            <w:r/>
          </w:p>
          <w:p>
            <w:pPr>
              <w:numPr>
                <w:ilvl w:val="0"/>
                <w:numId w:val="0"/>
              </w:numPr>
              <w:ind w:left="0" w:right="0"/>
              <w:jc w:val="left"/>
              <w:keepLines/>
              <w:keepNext/>
              <w:pageBreakBefore w:val="0"/>
              <w:spacing w:before="0" w:beforeAutospacing="0" w:after="0" w:afterAutospacing="0" w:line="28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未提供不得分。</w:t>
            </w:r>
            <w:r/>
          </w:p>
        </w:tc>
        <w:tc>
          <w:tcPr>
            <w:tcBorders>
              <w:top w:val="single" w:color="auto" w:sz="4" w:space="0"/>
              <w:left w:val="none" w:color="000000" w:sz="4" w:space="0"/>
              <w:right w:val="single" w:color="auto" w:sz="4" w:space="0"/>
            </w:tcBorders>
            <w:tcW w:w="2680"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80" w:lineRule="exact"/>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提供方案，格式自拟，加盖投标人公章。</w:t>
            </w:r>
            <w:r/>
          </w:p>
        </w:tc>
      </w:tr>
      <w:tr>
        <w:trPr>
          <w:cantSplit/>
          <w:trHeight w:val="2122"/>
        </w:trPr>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业务管理承诺</w:t>
            </w:r>
            <w:r/>
          </w:p>
        </w:tc>
        <w:tc>
          <w:tcPr>
            <w:shd w:val="clear" w:color="auto" w:fill="auto"/>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3985" w:type="dxa"/>
            <w:vAlign w:val="center"/>
            <w:textDirection w:val="lrTb"/>
            <w:noWrap w:val="false"/>
          </w:tcPr>
          <w:p>
            <w:pPr>
              <w:numPr>
                <w:ilvl w:val="0"/>
                <w:numId w:val="0"/>
              </w:numPr>
              <w:ind w:left="0" w:right="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（1）承诺建立专项服务档案，得2分，未提供不得分。</w:t>
            </w:r>
            <w:r/>
          </w:p>
          <w:p>
            <w:pPr>
              <w:numPr>
                <w:ilvl w:val="0"/>
                <w:numId w:val="0"/>
              </w:numPr>
              <w:ind w:left="0" w:right="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（2）承诺按期汇总承保及理赔数据，提交理赔数据报表，得2分，未提供不得分。</w:t>
            </w:r>
            <w:r/>
          </w:p>
          <w:p>
            <w:pPr>
              <w:numPr>
                <w:ilvl w:val="0"/>
                <w:numId w:val="0"/>
              </w:numPr>
              <w:ind w:left="0" w:right="0" w:firstLine="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bidi="ar-SA"/>
              </w:rPr>
              <w:suppressLineNumbers w:val="0"/>
            </w:pPr>
            <w:r>
              <w:rPr>
                <w:rFonts w:hint="eastAsia" w:ascii="宋体" w:hAnsi="宋体" w:eastAsia="宋体" w:cs="宋体"/>
                <w:sz w:val="24"/>
                <w:szCs w:val="24"/>
                <w:highlight w:val="none"/>
                <w:lang w:val="en-US" w:eastAsia="zh-CN"/>
              </w:rPr>
              <w:t xml:space="preserve">（3）承诺参加采购人组织的相关活动，得2分，未提供不得分。</w:t>
            </w:r>
            <w:r/>
          </w:p>
        </w:tc>
        <w:tc>
          <w:tcPr>
            <w:shd w:val="clear" w:color="auto" w:fill="auto"/>
            <w:tcBorders>
              <w:top w:val="single" w:color="auto" w:sz="4" w:space="0"/>
              <w:left w:val="none" w:color="000000" w:sz="4" w:space="0"/>
              <w:bottom w:val="single" w:color="auto" w:sz="4" w:space="0"/>
              <w:right w:val="single" w:color="auto" w:sz="4" w:space="0"/>
            </w:tcBorders>
            <w:tcW w:w="2680"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80" w:lineRule="exact"/>
              <w:widowControl/>
              <w:rPr>
                <w:rFonts w:hint="eastAsia" w:ascii="宋体" w:hAnsi="宋体" w:eastAsia="宋体" w:cs="宋体"/>
                <w:b w:val="0"/>
                <w:bCs w:val="0"/>
                <w:sz w:val="24"/>
                <w:szCs w:val="24"/>
                <w:highlight w:val="none"/>
                <w:lang w:val="en-US" w:eastAsia="zh-CN" w:bidi="ar-SA"/>
              </w:rPr>
              <w:suppressLineNumbers w:val="0"/>
            </w:pPr>
            <w:r>
              <w:rPr>
                <w:rFonts w:hint="eastAsia" w:ascii="宋体" w:hAnsi="宋体" w:eastAsia="宋体" w:cs="宋体"/>
                <w:b w:val="0"/>
                <w:bCs w:val="0"/>
                <w:sz w:val="24"/>
                <w:szCs w:val="24"/>
                <w:highlight w:val="none"/>
                <w:lang w:val="en-US" w:eastAsia="zh-CN" w:bidi="ar-SA"/>
              </w:rPr>
              <w:t xml:space="preserve">提供承诺函并加盖公章。</w:t>
            </w:r>
            <w:r>
              <w:rPr>
                <w:rFonts w:hint="eastAsia" w:ascii="宋体" w:hAnsi="宋体" w:eastAsia="宋体" w:cs="宋体"/>
                <w:sz w:val="24"/>
                <w:szCs w:val="24"/>
                <w:highlight w:val="none"/>
                <w:lang w:val="en-US" w:eastAsia="zh-CN"/>
              </w:rPr>
              <w:t xml:space="preserve">格式自拟。</w:t>
            </w:r>
            <w:r/>
          </w:p>
        </w:tc>
      </w:tr>
      <w:tr>
        <w:trPr>
          <w:cantSplit/>
          <w:trHeight w:val="3256"/>
        </w:trPr>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宣传方案</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3985"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投标人针对本项目提供宣传方案，包括但不限于宣传合作平台、宣传内容覆盖、宣传方式手段。</w:t>
            </w:r>
            <w:r/>
          </w:p>
          <w:p>
            <w:pPr>
              <w:numPr>
                <w:ilvl w:val="0"/>
                <w:numId w:val="0"/>
              </w:numPr>
              <w:ind w:left="0" w:right="0" w:firstLine="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宣传内容覆盖广泛，宣传方式新颖多样且精准可操作性强得10分；</w:t>
            </w:r>
            <w:r/>
          </w:p>
          <w:p>
            <w:pPr>
              <w:numPr>
                <w:ilvl w:val="0"/>
                <w:numId w:val="0"/>
              </w:numPr>
              <w:ind w:left="0" w:right="0" w:firstLine="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宣传内容覆盖一般，宣传方式通用基本可行，得7分；</w:t>
            </w:r>
            <w:r/>
          </w:p>
          <w:p>
            <w:pPr>
              <w:numPr>
                <w:ilvl w:val="0"/>
                <w:numId w:val="0"/>
              </w:numPr>
              <w:ind w:left="0" w:right="0" w:firstLine="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宣传内容覆盖小、宣传措施不翔实、可行性与实际操作较差，得4分；</w:t>
            </w:r>
            <w:r/>
          </w:p>
          <w:p>
            <w:pPr>
              <w:numPr>
                <w:ilvl w:val="0"/>
                <w:numId w:val="0"/>
              </w:numPr>
              <w:ind w:left="0" w:right="0" w:firstLine="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不提供不得分。</w:t>
            </w:r>
            <w:r/>
          </w:p>
        </w:tc>
        <w:tc>
          <w:tcPr>
            <w:tcBorders>
              <w:top w:val="single" w:color="auto" w:sz="4" w:space="0"/>
              <w:left w:val="none" w:color="000000" w:sz="4" w:space="0"/>
              <w:bottom w:val="single" w:color="auto" w:sz="4" w:space="0"/>
              <w:right w:val="single" w:color="auto" w:sz="4" w:space="0"/>
            </w:tcBorders>
            <w:tcW w:w="2680"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80" w:lineRule="exact"/>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提供方案，格式自拟，加盖单位公章。</w:t>
            </w:r>
            <w:r/>
          </w:p>
        </w:tc>
      </w:tr>
      <w:tr>
        <w:trPr>
          <w:cantSplit/>
          <w:trHeight w:val="4603"/>
        </w:trPr>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老年人安全风险防控</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3985" w:type="dxa"/>
            <w:vAlign w:val="center"/>
            <w:textDirection w:val="lrTb"/>
            <w:noWrap w:val="false"/>
          </w:tcPr>
          <w:p>
            <w:pPr>
              <w:numPr>
                <w:ilvl w:val="0"/>
                <w:numId w:val="0"/>
              </w:numPr>
              <w:ind w:left="0" w:right="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投标人针对本项目提供老年人安全风险分析、特点与建议以及风险管控措施进行评议：</w:t>
            </w:r>
            <w:r/>
          </w:p>
          <w:p>
            <w:pPr>
              <w:numPr>
                <w:ilvl w:val="0"/>
                <w:numId w:val="0"/>
              </w:numPr>
              <w:ind w:left="0" w:right="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对老年人安全风险进行准确、深入分析，并给出针对性的解决意见，建议切实可行、符合本项目实际、内容完整充实，能保证风险防控达到预期的得10分；</w:t>
            </w:r>
            <w:r/>
          </w:p>
          <w:p>
            <w:pPr>
              <w:numPr>
                <w:ilvl w:val="0"/>
                <w:numId w:val="0"/>
              </w:numPr>
              <w:ind w:left="0" w:right="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对老年人安全风险分析基本到位、有基本解决措施，建议符合要求、内容完整，但风险防控效果不佳的得7分；</w:t>
            </w:r>
            <w:r/>
          </w:p>
          <w:p>
            <w:pPr>
              <w:numPr>
                <w:ilvl w:val="0"/>
                <w:numId w:val="0"/>
              </w:numPr>
              <w:ind w:left="0" w:right="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风险老年人安全风险分析片面、无针对性地解决措施，建议基本符合要求，但内容有所欠缺的得4分；</w:t>
            </w:r>
            <w:r/>
          </w:p>
          <w:p>
            <w:pPr>
              <w:numPr>
                <w:ilvl w:val="0"/>
                <w:numId w:val="0"/>
              </w:numPr>
              <w:ind w:left="0" w:right="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未提供相关内容的不得分。</w:t>
            </w:r>
            <w:r/>
          </w:p>
        </w:tc>
        <w:tc>
          <w:tcPr>
            <w:tcBorders>
              <w:top w:val="single" w:color="auto" w:sz="4" w:space="0"/>
              <w:left w:val="none" w:color="000000" w:sz="4" w:space="0"/>
              <w:bottom w:val="single" w:color="auto" w:sz="4" w:space="0"/>
              <w:right w:val="single" w:color="auto" w:sz="4" w:space="0"/>
            </w:tcBorders>
            <w:tcW w:w="2680" w:type="dxa"/>
            <w:vAlign w:val="center"/>
            <w:textDirection w:val="lrTb"/>
            <w:noWrap w:val="false"/>
          </w:tcPr>
          <w:p>
            <w:pPr>
              <w:numPr>
                <w:ilvl w:val="0"/>
                <w:numId w:val="0"/>
              </w:numPr>
              <w:ind w:left="0" w:right="0" w:firstLine="0"/>
              <w:jc w:val="left"/>
              <w:keepLines/>
              <w:keepNext/>
              <w:pageBreakBefore w:val="0"/>
              <w:spacing w:before="0" w:beforeAutospacing="0" w:after="0" w:afterAutospacing="0" w:line="280" w:lineRule="exact"/>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提供方案，格式自拟，加盖单位公章。</w:t>
            </w:r>
            <w:r/>
          </w:p>
        </w:tc>
      </w:tr>
      <w:tr>
        <w:trPr>
          <w:cantSplit/>
          <w:trHeight w:val="1615"/>
        </w:trPr>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eastAsia="zh-CN"/>
              </w:rPr>
              <w:suppressLineNumbers w:val="0"/>
            </w:pPr>
            <w:r>
              <w:rPr>
                <w:rFonts w:hint="eastAsia" w:ascii="宋体" w:hAnsi="宋体" w:eastAsia="宋体" w:cs="宋体"/>
                <w:sz w:val="24"/>
                <w:szCs w:val="24"/>
                <w:highlight w:val="none"/>
              </w:rPr>
              <w:t xml:space="preserve">投诉回访服务</w:t>
            </w:r>
            <w:r>
              <w:rPr>
                <w:rFonts w:hint="eastAsia" w:ascii="宋体" w:hAnsi="宋体" w:eastAsia="宋体" w:cs="宋体"/>
                <w:sz w:val="24"/>
                <w:szCs w:val="24"/>
                <w:highlight w:val="none"/>
                <w:lang w:val="en-US" w:eastAsia="zh-CN"/>
              </w:rPr>
              <w:t xml:space="preserve">制度</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3985" w:type="dxa"/>
            <w:vAlign w:val="center"/>
            <w:textDirection w:val="lrTb"/>
            <w:noWrap w:val="false"/>
          </w:tcPr>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投标人提供投诉回访服务制度，包括但不限于①投诉制度；②回访制度；③争议调处制度等内容；每提供一条得2分，满分6分。不提供不得分。</w:t>
            </w:r>
            <w:r/>
          </w:p>
        </w:tc>
        <w:tc>
          <w:tcPr>
            <w:tcBorders>
              <w:top w:val="single" w:color="auto" w:sz="4" w:space="0"/>
              <w:left w:val="none" w:color="000000" w:sz="4" w:space="0"/>
              <w:bottom w:val="single" w:color="auto" w:sz="4" w:space="0"/>
              <w:right w:val="single" w:color="auto" w:sz="4" w:space="0"/>
            </w:tcBorders>
            <w:tcW w:w="2680" w:type="dxa"/>
            <w:vAlign w:val="center"/>
            <w:textDirection w:val="lrTb"/>
            <w:noWrap w:val="false"/>
          </w:tcPr>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提供投诉回访服务制度，加盖单位公章。</w:t>
            </w:r>
            <w:r/>
          </w:p>
        </w:tc>
      </w:tr>
      <w:tr>
        <w:trPr>
          <w:cantSplit/>
          <w:trHeight w:val="1390"/>
        </w:trPr>
        <w:tc>
          <w:tcPr>
            <w:tcBorders>
              <w:top w:val="single" w:color="auto" w:sz="4" w:space="0"/>
              <w:left w:val="single" w:color="auto" w:sz="4" w:space="0"/>
              <w:bottom w:val="single" w:color="auto" w:sz="4" w:space="0"/>
              <w:right w:val="single" w:color="auto" w:sz="4" w:space="0"/>
            </w:tcBorders>
            <w:tcW w:w="1410" w:type="dxa"/>
            <w:vAlign w:val="center"/>
            <w:vMerge w:val="continue"/>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t xml:space="preserve">增值服务</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ind w:left="0" w:right="0" w:firstLine="0"/>
              <w:jc w:val="center"/>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sz w:val="24"/>
                <w:szCs w:val="24"/>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3985" w:type="dxa"/>
            <w:vAlign w:val="center"/>
            <w:textDirection w:val="lrTb"/>
            <w:noWrap w:val="false"/>
          </w:tcPr>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sz w:val="24"/>
                <w:szCs w:val="24"/>
                <w:highlight w:val="none"/>
                <w:lang w:val="en-US" w:eastAsia="zh-CN"/>
              </w:rPr>
              <w:suppressLineNumbers w:val="0"/>
            </w:pPr>
            <w:r>
              <w:rPr>
                <w:rFonts w:hint="eastAsia" w:ascii="宋体" w:hAnsi="宋体" w:eastAsia="宋体" w:cs="宋体"/>
                <w:color w:val="000000"/>
                <w:sz w:val="24"/>
                <w:szCs w:val="24"/>
                <w:highlight w:val="none"/>
                <w:lang w:eastAsia="zh-CN"/>
              </w:rPr>
              <w:t xml:space="preserve">投标人提供与该项目相关的增值服务方案，每提供</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条增值服务方案得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满分8分。</w:t>
            </w:r>
            <w:r>
              <w:rPr>
                <w:rFonts w:hint="eastAsia" w:ascii="宋体" w:hAnsi="宋体" w:eastAsia="宋体" w:cs="宋体"/>
                <w:sz w:val="24"/>
                <w:szCs w:val="24"/>
                <w:highlight w:val="none"/>
              </w:rPr>
              <w:t xml:space="preserve">不提供不得分。</w:t>
            </w:r>
            <w:r/>
          </w:p>
        </w:tc>
        <w:tc>
          <w:tcPr>
            <w:tcBorders>
              <w:top w:val="single" w:color="auto" w:sz="4" w:space="0"/>
              <w:left w:val="none" w:color="000000" w:sz="4" w:space="0"/>
              <w:bottom w:val="single" w:color="auto" w:sz="4" w:space="0"/>
              <w:right w:val="single" w:color="auto" w:sz="4" w:space="0"/>
            </w:tcBorders>
            <w:tcW w:w="2680" w:type="dxa"/>
            <w:vAlign w:val="center"/>
            <w:textDirection w:val="lrTb"/>
            <w:noWrap w:val="false"/>
          </w:tcPr>
          <w:p>
            <w:pPr>
              <w:ind w:left="0" w:right="0" w:firstLine="0"/>
              <w:jc w:val="left"/>
              <w:keepLines/>
              <w:keepNext/>
              <w:pageBreakBefore w:val="0"/>
              <w:spacing w:before="0" w:beforeAutospacing="0" w:after="0" w:afterAutospacing="0" w:line="280" w:lineRule="exact"/>
              <w:widowControl/>
              <w:rPr>
                <w:rFonts w:hint="eastAsia" w:ascii="宋体" w:hAnsi="宋体" w:eastAsia="宋体" w:cs="宋体"/>
                <w:b w:val="0"/>
                <w:bCs w:val="0"/>
                <w:sz w:val="24"/>
                <w:szCs w:val="24"/>
                <w:highlight w:val="none"/>
                <w:lang w:val="en-US" w:eastAsia="zh-CN"/>
              </w:rPr>
              <w:suppressLineNumbers w:val="0"/>
            </w:pPr>
            <w:r>
              <w:rPr>
                <w:rFonts w:hint="eastAsia" w:ascii="宋体" w:hAnsi="宋体" w:eastAsia="宋体" w:cs="宋体"/>
                <w:b w:val="0"/>
                <w:bCs w:val="0"/>
                <w:sz w:val="24"/>
                <w:szCs w:val="24"/>
                <w:highlight w:val="none"/>
                <w:lang w:val="en-US" w:eastAsia="zh-CN"/>
              </w:rPr>
              <w:t xml:space="preserve">提供方案，格式自拟，加盖投标人公章。</w:t>
            </w:r>
            <w:r/>
          </w:p>
        </w:tc>
      </w:tr>
    </w:tbl>
    <w:p>
      <w:pPr>
        <w:ind w:firstLine="482"/>
        <w:spacing w:line="520" w:lineRule="exact"/>
        <w:tabs>
          <w:tab w:val="left" w:pos="2850" w:leader="none"/>
          <w:tab w:val="center" w:pos="4153" w:leader="none"/>
        </w:tabs>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1.如以联合体形式参与投标，则本评审项所涉及的所有证明材料仅以联合体牵头单位的为依据，提供联合体其他成员的相关资料均不予计分。</w:t>
      </w:r>
      <w:r/>
    </w:p>
    <w:p>
      <w:pPr>
        <w:ind w:firstLine="482"/>
        <w:spacing w:line="520" w:lineRule="exact"/>
        <w:tabs>
          <w:tab w:val="left" w:pos="2850" w:leader="none"/>
          <w:tab w:val="center" w:pos="41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供应商承诺所提供资料全部真实，如有伪造，一经发现造假行为，则供应商需要接受相关监管部门的处罚。</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评标委员会成员按照招标文件和本办法上述有关规定，给各投标文件评分。</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各投标人的得分为各评委所评定分数的算术平均值。</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各项统计、评分结果均按四舍五入方法精确到小数点后两位。</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评标委员会应根据各投标人的最终得分，按照从高到低的顺序进行排序。当投标人最终得分相同时，投标报价低者居前，如投标报价也相同，技术得分高者居前，如技术得分也相同，招标人可抽签确定中标人。</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确定中标候选人：根据各投标人的排序，评标委员会应在评标报告中推选前3名作为中标候选人。</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确定中标人：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left="0" w:firstLine="480"/>
        <w:jc w:val="both"/>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本办法未尽事宜，由评标委员会依据有关法规研究解决。</w:t>
      </w:r>
      <w:r/>
    </w:p>
    <w:p>
      <w:pPr>
        <w:ind w:firstLine="560"/>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60"/>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00" w:lineRule="auto"/>
        <w:rPr>
          <w:rFonts w:hint="eastAsia" w:ascii="宋体" w:hAnsi="宋体" w:eastAsia="宋体" w:cs="宋体"/>
          <w:b/>
          <w:color w:val="auto"/>
          <w:sz w:val="32"/>
          <w:szCs w:val="32"/>
          <w:highlight w:val="none"/>
        </w:rPr>
        <w:outlineLvl w:val="0"/>
      </w:pPr>
      <w:r>
        <w:rPr>
          <w:rFonts w:hint="eastAsia" w:ascii="宋体" w:hAnsi="宋体" w:eastAsia="宋体" w:cs="宋体"/>
          <w:b/>
          <w:color w:val="auto"/>
          <w:sz w:val="32"/>
          <w:szCs w:val="32"/>
          <w:highlight w:val="none"/>
        </w:rPr>
        <w:t xml:space="preserve">第五章 合同条款</w:t>
      </w:r>
      <w:r/>
    </w:p>
    <w:p>
      <w:pPr>
        <w:ind w:firstLine="520"/>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注：本合同仅为合同的参考文本，合同签订双方可根据项目的具体要求进行修订，但合同条款不得与采购文件和</w:t>
      </w:r>
      <w:r>
        <w:rPr>
          <w:rFonts w:hint="eastAsia" w:ascii="宋体" w:hAnsi="宋体" w:eastAsia="宋体" w:cs="宋体"/>
          <w:bCs/>
          <w:color w:val="auto"/>
          <w:szCs w:val="21"/>
          <w:highlight w:val="none"/>
        </w:rPr>
        <w:t xml:space="preserve">响应文件</w:t>
      </w:r>
      <w:r>
        <w:rPr>
          <w:rFonts w:hint="eastAsia" w:ascii="宋体" w:hAnsi="宋体" w:eastAsia="宋体" w:cs="宋体"/>
          <w:color w:val="auto"/>
          <w:szCs w:val="21"/>
          <w:highlight w:val="none"/>
        </w:rPr>
        <w:t xml:space="preserve">有实质性偏离。</w:t>
      </w:r>
      <w:r/>
    </w:p>
    <w:p>
      <w:pPr>
        <w:jc w:val="left"/>
        <w:spacing w:line="36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政府采购合同（示范文本）</w:t>
      </w:r>
      <w:r/>
    </w:p>
    <w:p>
      <w:pPr>
        <w:jc w:val="center"/>
        <w:rPr>
          <w:rFonts w:hint="eastAsia" w:ascii="宋体" w:hAnsi="宋体" w:eastAsia="宋体" w:cs="宋体"/>
          <w:color w:val="auto"/>
          <w:sz w:val="32"/>
          <w:szCs w:val="32"/>
          <w:highlight w:val="none"/>
          <w:lang w:val="zh-CN"/>
        </w:rPr>
      </w:pPr>
      <w:r>
        <w:rPr>
          <w:rFonts w:hint="eastAsia" w:ascii="宋体" w:hAnsi="宋体" w:eastAsia="宋体" w:cs="宋体"/>
          <w:color w:val="auto"/>
          <w:sz w:val="32"/>
          <w:szCs w:val="32"/>
          <w:highlight w:val="none"/>
          <w:lang w:val="zh-CN"/>
        </w:rPr>
        <w:t xml:space="preserve">（服务类）</w:t>
      </w:r>
      <w:r/>
    </w:p>
    <w:p>
      <w:pPr>
        <w:ind w:firstLine="480"/>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80"/>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合同编号：</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p>
    <w:p>
      <w:pPr>
        <w:ind w:firstLine="480"/>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甲方（采购人）：</w:t>
      </w:r>
      <w:r>
        <w:rPr>
          <w:rFonts w:hint="eastAsia" w:ascii="宋体" w:hAnsi="宋体" w:eastAsia="宋体" w:cs="宋体"/>
          <w:color w:val="auto"/>
          <w:sz w:val="24"/>
          <w:highlight w:val="none"/>
          <w:u w:val="single"/>
          <w:lang w:val="zh-CN"/>
        </w:rPr>
        <w:t xml:space="preserve">                    </w:t>
      </w:r>
      <w:r/>
    </w:p>
    <w:p>
      <w:pPr>
        <w:ind w:firstLine="480"/>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住所地：</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w:t>
      </w:r>
      <w:r/>
    </w:p>
    <w:p>
      <w:pPr>
        <w:ind w:firstLine="480"/>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乙方（供应商）：</w:t>
      </w:r>
      <w:r>
        <w:rPr>
          <w:rFonts w:hint="eastAsia" w:ascii="宋体" w:hAnsi="宋体" w:eastAsia="宋体" w:cs="宋体"/>
          <w:color w:val="auto"/>
          <w:sz w:val="24"/>
          <w:highlight w:val="none"/>
          <w:u w:val="single"/>
          <w:lang w:val="zh-CN"/>
        </w:rPr>
        <w:t xml:space="preserve">                    </w:t>
      </w:r>
      <w:r/>
    </w:p>
    <w:p>
      <w:pPr>
        <w:ind w:firstLine="480"/>
        <w:jc w:val="left"/>
        <w:spacing w:line="40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zh-CN"/>
        </w:rPr>
        <w:t xml:space="preserve">住所地：</w:t>
      </w:r>
      <w:r>
        <w:rPr>
          <w:rFonts w:hint="eastAsia" w:ascii="宋体" w:hAnsi="宋体" w:eastAsia="宋体" w:cs="宋体"/>
          <w:color w:val="auto"/>
          <w:sz w:val="24"/>
          <w:highlight w:val="none"/>
          <w:u w:val="single"/>
          <w:lang w:val="zh-CN"/>
        </w:rPr>
        <w:t xml:space="preserve">                          </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乙方于</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日参加了</w:t>
      </w:r>
      <w:r>
        <w:rPr>
          <w:rFonts w:hint="eastAsia" w:ascii="宋体" w:hAnsi="宋体" w:eastAsia="宋体" w:cs="宋体"/>
          <w:color w:val="auto"/>
          <w:sz w:val="24"/>
          <w:highlight w:val="none"/>
          <w:u w:val="single"/>
          <w:lang w:val="zh-CN"/>
        </w:rPr>
        <w:t xml:space="preserve"> （采购人或者代理机构） </w:t>
      </w:r>
      <w:r>
        <w:rPr>
          <w:rFonts w:hint="eastAsia" w:ascii="宋体" w:hAnsi="宋体" w:eastAsia="宋体" w:cs="宋体"/>
          <w:color w:val="auto"/>
          <w:sz w:val="24"/>
          <w:highlight w:val="none"/>
          <w:lang w:val="zh-CN"/>
        </w:rPr>
        <w:t xml:space="preserve">组织的“ </w:t>
      </w:r>
      <w:r>
        <w:rPr>
          <w:rFonts w:hint="eastAsia" w:ascii="宋体" w:hAnsi="宋体" w:eastAsia="宋体" w:cs="宋体"/>
          <w:color w:val="auto"/>
          <w:sz w:val="24"/>
          <w:highlight w:val="none"/>
          <w:u w:val="single"/>
          <w:lang w:val="zh-CN"/>
        </w:rPr>
        <w:t xml:space="preserve"> （项目名称及项目编号）  </w:t>
      </w:r>
      <w:r>
        <w:rPr>
          <w:rFonts w:hint="eastAsia" w:ascii="宋体" w:hAnsi="宋体" w:eastAsia="宋体" w:cs="宋体"/>
          <w:color w:val="auto"/>
          <w:sz w:val="24"/>
          <w:highlight w:val="none"/>
          <w:lang w:val="zh-CN"/>
        </w:rPr>
        <w:t xml:space="preserve">”政府采购活动，经评标评审，确定乙方为</w:t>
      </w:r>
      <w:r>
        <w:rPr>
          <w:rFonts w:hint="eastAsia" w:ascii="宋体" w:hAnsi="宋体" w:eastAsia="宋体" w:cs="宋体"/>
          <w:color w:val="auto"/>
          <w:sz w:val="24"/>
          <w:highlight w:val="none"/>
          <w:u w:val="single"/>
          <w:lang w:val="zh-CN"/>
        </w:rPr>
        <w:t xml:space="preserve"> （包及包名称） </w:t>
      </w:r>
      <w:r>
        <w:rPr>
          <w:rFonts w:hint="eastAsia" w:ascii="宋体" w:hAnsi="宋体" w:eastAsia="宋体" w:cs="宋体"/>
          <w:color w:val="auto"/>
          <w:sz w:val="24"/>
          <w:highlight w:val="none"/>
          <w:lang w:val="zh-CN"/>
        </w:rPr>
        <w:t xml:space="preserve">的供应商，按照《中华人民共和国民法典》《中华人民共和国政府采购法》和相关的法律法规规定，以及招标（采购）文件要求，经甲乙双方协商一致，签订本政府采购合同。</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第一条 合同标的</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服务名称：</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服务内容：</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技术标准：</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第二条  合同总金额</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合同总金额为人民币（大写）：</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该价款包括了服务价格及与之配套的设计、制造、正版软件、检验、包装、运输、保险、税费以及安装、组织验收、培训、技术服务（包括技术资料、图纸提供等）、质保期服务等全部价款，除此之外，甲方不再向乙方支付其他任何费用。</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第三条  服务交付</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1.交付日期： </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2.交付地点：</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第四条  交付验收</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甲方应当根据国家、行业验收标准，以及合同约定验收方案，明确验收时间、方式、程序和内容等事项，组成验收小组，在收到乙方项目验收建议之日起【】日内，对采购项目进行实质性验收（验收建议有明显不当的除外）。乙方应对提交的服务成果作出全面检查和整理，并列出清单，作为甲方验收和使用技术条件依据，清单应随提交的服务成果交给甲方。</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2.对大型或复杂的政府采购项目，甲方可以邀请国家认可的质量检测机构参与验收工作，并出具验收报告，相关费用负担由甲乙双方商定。</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3.乙方在指定地点提交服务成果后，甲乙双方应依据招标文件、投标文件等文件材料的要求共同验收，并出具书面验收报告。</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第五条  所有权归属</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乙方将服务成果交付甲方，并且经甲乙双方共同验收合格后所有权转移给甲方，在所有权转移之前，标的物损毁、灭失的风险归乙方，乙方保证所交付的服务成果的所有权完全属于乙方且无任何抵押、查封等产权瑕疵。</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如乙方交付的服务成果有产权瑕疵的，视为乙方违约，乙方须向甲方支付【】%的违约金；如果合同总金额价款已经支付完毕或者开始支付合同价款时才发现产权有瑕疵的，乙方仍须支付上述违约金并且赔偿甲方由此所遭受的一切损失。</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第六条  包装、装运及运输</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1.乙方负责包装、装运和运输，由于不适当的包装、装运和运输造成任何损坏均由乙方负责。</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2.包装费、运费及相关费用已包含在合同总金额内。</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第七条  款项支付</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1.服务成果交付甲方，经甲乙双方共同验收合格后由甲方负责办理支付手续。</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2.允许乙方提供电子发票，甲方自收到合格发票之日起【】日内支付资金，并不得附加未经约定的其他条件。</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3.付款方式 </w:t>
      </w:r>
      <w:r/>
    </w:p>
    <w:p>
      <w:pPr>
        <w:ind w:firstLine="480"/>
        <w:spacing w:line="440" w:lineRule="exact"/>
        <w:tabs>
          <w:tab w:val="left" w:pos="84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3.1预付款比例：</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％，于政府采购合同签订生效并具备实施条件后【】日内支付。</w:t>
      </w:r>
      <w:r/>
    </w:p>
    <w:p>
      <w:pPr>
        <w:ind w:firstLine="48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第八条  履约保证金</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1.履约保证金用于补偿甲方因乙方不能履行或不能完全履行合同义务而蒙受的损失。</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2.乙方应当以支票、汇票、本票或者金融机构、担保机构出具的保函等非现金形式提交履约保证金，提交形式：</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，金额：人民币（大写）</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 ）元（履约保证金不得超过政府采购合同金额的10%）。</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3.在采购标的交付验收合格无质量问题后，甲方在【】日内退还履约保证金。</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第九条  售后服务及承诺</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1.服务质量保证期限自提交服务验收合格之日起</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年，在质量保证期内，乙方应对服务出现的问题负责处理并承担一切费用，并赔偿甲方的损失。</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2.乙方有完善的服务体系，有能力提供持续的、本地化售后服务。</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3.乙方负责系统安装和调试以及操作人员培训，并制定详细的培训计划，使操作人员能独立进行管理、操作、维护和故障处理等工作，做好相关记录及技术文档收集整理，待验收后移交。</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4.服务范围：负责招标文件所涉及的所有服务。</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第十条  知识产权</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1.乙方保证，甲方在享受服务或者服务的任何一部分时，免受第三方提出的侵犯其专利权、商标权或其他知识产权的起诉。如发生此类纠纷，由乙方承担一切责任；如因此给甲方造成损失的，乙方负责全额赔偿。</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2.乙方为执行本合同而提供的技术资料或者其他相关资料、软件等由甲方永久免费使用。</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第十一条  甲方责任</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1.及时办理付款手续。</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2.负责提供工作场地，协助乙方办理有关事宜。</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3.对合同条款及所知悉的乙方商业秘密负有保密义务。</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第十二条  乙方责任</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1.保证所提供服务为投标文件承诺服务，符合相关法律法规规定并且满足甲方的需求，保证其配套项目部件为全新的未使用的且符合相关的质量要求。</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2.保证所提供服务的售后服务，严格依据投标文件及相关承诺，对服务以及与之配套的项目进行保修、维护等服务。</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3.保证其所提供服务不存在侵犯第三方知识产权的行为，否则由此产生的损失由乙方承担。</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第十三条  违约责任</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1.乙方所提供服务成果及与之配套项目等不符合合同约定标准，甲方有权拒收。同时，乙方向甲方支付合同总金额【】%的违约金。</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2.乙方不能交付服务成果时，乙方向甲方支付合同总金额【】%的违约金。</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乙方逾期交付服务成果时，每逾1日乙方向甲方支付合同总金额【】‰的滞纳金。逾期交付超过【】日，甲方有权决定是否继续履行合同，如甲方决定终止履行合同的，乙方向甲方支付合同总金额【】%的违约金，并且赔偿甲方因此所遭受的损失。</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甲方逾期退还履约保证金的违约责任：采购人延迟退还供应商缴纳的履约保证金的，应当支付逾期利息。双方对逾期利息的利率有约定的，约定利率不得低于合同订立时1年期贷款市场报价利率；未作约定的，按照每日利率万分之五支付逾期利息。</w:t>
      </w:r>
      <w:r/>
    </w:p>
    <w:p>
      <w:pPr>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5.甲方逾期支付资金的违约责任：</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6.因甲方原因导致变更、中止或者终止政府采购合同的，甲方对供应商受到的损失予以赔偿或者补偿：</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7.因甲方过错而给乙方造成的损失，由甲方负担。</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第十四条  不可抗力</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甲乙双方的任何一方由于不可抗力不能履行合同时，应当及时通知对方不能履行或不能完全履行的情况和理由；在取得有关主管机关证明以后，允许延期履行、部分履行或者终止履行合同的，根据情况可以部分或全部免予承担违约责任。</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第十五条  保密</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乙方在合同履行期间知悉甲方的工作秘密（包括相关业务信息），不得透露或以其他方式提供给合同双方以外的其他方（包括乙方内部与本合同无关的任何人员），乙方的保密责任不因本合同的终止而终止。</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乙方违反本合同所规定的保密义务，应按照本合同总金额的【】%支付违约金。</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第十六条  争议解决</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甲乙双方在合同履行中发生争议，应通过协商解决。如协商不成，可以向合同签订地法院提起诉讼。</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第十七条  合同生效及其他</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1.除招标文件规定且甲方事先书面同意外，乙方不得部分或者全部转让、分包履行其应履行的合同项下的义务。</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2.合同由甲、乙双方法定代表人（或者被授权代表）签字并加盖单位公章。 </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3.本合同一式</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份，甲方</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份，乙方</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份。</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第十八条   服务期限</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本合同服务期限为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年；服务期限自 </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日起至</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年</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月</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 xml:space="preserve">日止。</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第十九条  下列文件为本合同不可分割部分</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1.政府采购招标（采购）文件（包括澄清、修改）；</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2.乙方投标（响应）文件；</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3.中标（成交）通知书；</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4.中标人在评标评审过程中做出的有关澄清、说明、承诺或者补正文件；</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5.政府采购委托协议书；</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甲    方：                             乙    方：</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单位名称（公章）：                       单位名称（公章）：</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法定代表人（被授权代表）签字：         法定代表人（被授权代表）签字：                </w:t>
      </w:r>
      <w:r/>
    </w:p>
    <w:p>
      <w:pPr>
        <w:ind w:firstLine="482"/>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电    话：                             电    话：</w:t>
      </w:r>
      <w:r/>
    </w:p>
    <w:p>
      <w:pPr>
        <w:ind w:firstLine="482"/>
        <w:spacing w:line="400" w:lineRule="exact"/>
        <w:tabs>
          <w:tab w:val="left" w:pos="782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ind w:firstLine="482"/>
        <w:spacing w:line="400" w:lineRule="exact"/>
        <w:tabs>
          <w:tab w:val="left" w:pos="782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年   月   日                           年   月   日</w:t>
      </w:r>
      <w:r/>
    </w:p>
    <w:p>
      <w:pPr>
        <w:rPr>
          <w:rFonts w:hint="eastAsia" w:ascii="宋体" w:hAnsi="宋体" w:eastAsia="宋体" w:cs="宋体"/>
          <w:lang w:val="en-US" w:eastAsia="zh-CN"/>
        </w:rPr>
      </w:pPr>
      <w:r>
        <w:rPr>
          <w:rFonts w:hint="eastAsia" w:ascii="宋体" w:hAnsi="宋体" w:eastAsia="宋体" w:cs="宋体"/>
          <w:lang w:val="en-US" w:eastAsia="zh-CN"/>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54"/>
        <w:jc w:val="center"/>
        <w:spacing w:before="0" w:after="0"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第六章 投标文件格式</w:t>
      </w:r>
      <w:r/>
    </w:p>
    <w:p>
      <w:pPr>
        <w:pStyle w:val="967"/>
        <w:ind w:firstLine="24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highlight w:val="none"/>
        </w:rPr>
        <w:t xml:space="preserve">1、说明：对本章所有的投标书格式，除开标一览表外，投标方可根据自身情况进行补充和修改，但补充和修改不得造成与本格式内容有实质性的违背。</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24"/>
          <w:highlight w:val="none"/>
        </w:rPr>
        <w:t xml:space="preserve">  2、投标人应按标段准备投标文件并清楚注明标段名称,否则造成的一切后果由投标人自行承担。</w:t>
      </w:r>
      <w:r>
        <w:rPr>
          <w:rFonts w:hint="eastAsia" w:ascii="宋体" w:hAnsi="宋体" w:eastAsia="宋体" w:cs="宋体"/>
          <w:color w:val="auto"/>
          <w:sz w:val="32"/>
          <w:szCs w:val="32"/>
          <w:highlight w:val="none"/>
        </w:rPr>
        <w:br w:type="page" w:clear="all"/>
      </w:r>
      <w:bookmarkStart w:id="48" w:name="_Toc263753600"/>
      <w:r/>
      <w:bookmarkStart w:id="49" w:name="_Toc263768864"/>
      <w:r/>
      <w:bookmarkStart w:id="50" w:name="_Toc297204985"/>
      <w:r/>
      <w:bookmarkStart w:id="51" w:name="_Toc250041691"/>
      <w:r/>
      <w:bookmarkStart w:id="52" w:name="_Toc217446085"/>
      <w:r/>
      <w:bookmarkStart w:id="53" w:name="_Toc237145385"/>
      <w:r/>
      <w:bookmarkStart w:id="54" w:name="_Toc256175382"/>
      <w:r/>
      <w:r/>
    </w:p>
    <w:p>
      <w:pPr>
        <w:jc w:val="center"/>
        <w:rPr>
          <w:rFonts w:hint="eastAsia" w:ascii="宋体" w:hAnsi="宋体" w:eastAsia="宋体" w:cs="宋体"/>
          <w:bCs/>
          <w:color w:val="auto"/>
          <w:sz w:val="52"/>
          <w:szCs w:val="52"/>
          <w:highlight w:val="none"/>
        </w:rPr>
      </w:pPr>
      <w:r/>
      <w:bookmarkStart w:id="55" w:name="_Toc13296_WPSOffice_Level1"/>
      <w:r/>
      <w:bookmarkStart w:id="56" w:name="_Toc217446086"/>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bookmarkEnd w:id="55"/>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7" w:name="_Toc677_WPSOffice_Level1"/>
      <w:r>
        <w:rPr>
          <w:rFonts w:hint="eastAsia" w:ascii="宋体" w:hAnsi="宋体" w:eastAsia="宋体" w:cs="宋体"/>
          <w:bCs/>
          <w:color w:val="auto"/>
          <w:sz w:val="52"/>
          <w:szCs w:val="52"/>
          <w:highlight w:val="none"/>
        </w:rPr>
        <w:t xml:space="preserve">标</w:t>
      </w:r>
      <w:bookmarkEnd w:id="57"/>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bookmarkStart w:id="58" w:name="_Toc2949_WPSOffice_Level1"/>
      <w:r>
        <w:rPr>
          <w:rFonts w:hint="eastAsia" w:ascii="宋体" w:hAnsi="宋体" w:eastAsia="宋体" w:cs="宋体"/>
          <w:bCs/>
          <w:color w:val="auto"/>
          <w:sz w:val="52"/>
          <w:szCs w:val="52"/>
          <w:highlight w:val="none"/>
        </w:rPr>
        <w:t xml:space="preserve">文</w:t>
      </w:r>
      <w:bookmarkEnd w:id="58"/>
      <w:r/>
      <w:r/>
    </w:p>
    <w:p>
      <w:pPr>
        <w:rPr>
          <w:rFonts w:hint="eastAsia" w:ascii="宋体" w:hAnsi="宋体" w:eastAsia="宋体" w:cs="宋体"/>
          <w:bCs/>
          <w:color w:val="auto"/>
          <w:sz w:val="72"/>
          <w:szCs w:val="72"/>
          <w:highlight w:val="none"/>
        </w:rPr>
      </w:pPr>
      <w:r>
        <w:rPr>
          <w:rFonts w:hint="eastAsia" w:ascii="宋体" w:hAnsi="宋体" w:eastAsia="宋体" w:cs="宋体"/>
          <w:bCs/>
          <w:color w:val="auto"/>
          <w:sz w:val="72"/>
          <w:szCs w:val="72"/>
          <w:highlight w:val="none"/>
        </w:rPr>
      </w:r>
      <w:r/>
    </w:p>
    <w:p>
      <w:pPr>
        <w:jc w:val="center"/>
        <w:rPr>
          <w:rFonts w:hint="eastAsia" w:ascii="宋体" w:hAnsi="宋体" w:eastAsia="宋体" w:cs="宋体"/>
          <w:bCs/>
          <w:color w:val="auto"/>
          <w:sz w:val="52"/>
          <w:szCs w:val="52"/>
          <w:highlight w:val="none"/>
        </w:rPr>
      </w:pPr>
      <w:r/>
      <w:bookmarkStart w:id="59" w:name="_Toc31964_WPSOffice_Level1"/>
      <w:r>
        <w:rPr>
          <w:rFonts w:hint="eastAsia" w:ascii="宋体" w:hAnsi="宋体" w:eastAsia="宋体" w:cs="宋体"/>
          <w:bCs/>
          <w:color w:val="auto"/>
          <w:sz w:val="52"/>
          <w:szCs w:val="52"/>
          <w:highlight w:val="none"/>
        </w:rPr>
        <w:t xml:space="preserve">件</w:t>
      </w:r>
      <w:bookmarkEnd w:id="59"/>
      <w:r/>
      <w:r/>
    </w:p>
    <w:p>
      <w:pP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spacing w:line="360" w:lineRule="auto"/>
        <w:rPr>
          <w:rFonts w:hint="eastAsia" w:ascii="宋体" w:hAnsi="宋体" w:eastAsia="宋体" w:cs="宋体"/>
          <w:bCs/>
          <w:color w:val="auto"/>
          <w:sz w:val="28"/>
          <w:szCs w:val="28"/>
          <w:highlight w:val="none"/>
        </w:rPr>
      </w:pPr>
      <w:r/>
      <w:bookmarkStart w:id="60" w:name="_Toc1060_WPSOffice_Level1"/>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采购项目编号：</w:t>
      </w:r>
      <w:bookmarkEnd w:id="60"/>
      <w:r/>
      <w:r/>
    </w:p>
    <w:p>
      <w:pPr>
        <w:spacing w:line="360" w:lineRule="auto"/>
        <w:rPr>
          <w:rFonts w:hint="eastAsia" w:ascii="宋体" w:hAnsi="宋体" w:eastAsia="宋体" w:cs="宋体"/>
          <w:bCs/>
          <w:color w:val="auto"/>
          <w:sz w:val="28"/>
          <w:szCs w:val="28"/>
          <w:highlight w:val="none"/>
        </w:rPr>
      </w:pPr>
      <w:r/>
      <w:bookmarkStart w:id="61" w:name="_Toc7891_WPSOffice_Level1"/>
      <w:r>
        <w:rPr>
          <w:rFonts w:hint="eastAsia" w:ascii="宋体" w:hAnsi="宋体" w:eastAsia="宋体" w:cs="宋体"/>
          <w:bCs/>
          <w:color w:val="auto"/>
          <w:sz w:val="28"/>
          <w:szCs w:val="28"/>
          <w:highlight w:val="none"/>
        </w:rPr>
        <w:t xml:space="preserve">采购项目名称：</w:t>
      </w:r>
      <w:bookmarkEnd w:id="61"/>
      <w:r/>
      <w:bookmarkStart w:id="62" w:name="_Toc13794_WPSOffice_Level1"/>
      <w:r/>
      <w:r/>
    </w:p>
    <w:p>
      <w:pPr>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w:t>
      </w:r>
      <w:r>
        <w:rPr>
          <w:rFonts w:hint="eastAsia" w:ascii="宋体" w:hAnsi="宋体" w:eastAsia="宋体" w:cs="宋体"/>
          <w:bCs/>
          <w:color w:val="auto"/>
          <w:sz w:val="28"/>
          <w:szCs w:val="28"/>
          <w:highlight w:val="none"/>
          <w:lang w:val="en-US" w:eastAsia="zh-CN"/>
        </w:rPr>
        <w:t xml:space="preserve">供应商</w:t>
      </w:r>
      <w:r>
        <w:rPr>
          <w:rFonts w:hint="eastAsia" w:ascii="宋体" w:hAnsi="宋体" w:eastAsia="宋体" w:cs="宋体"/>
          <w:color w:val="auto"/>
          <w:sz w:val="27"/>
          <w:szCs w:val="27"/>
          <w:highlight w:val="none"/>
        </w:rPr>
        <w:t xml:space="preserve">（加盖CA电子公章）</w:t>
      </w:r>
      <w:r>
        <w:rPr>
          <w:rFonts w:hint="eastAsia" w:ascii="宋体" w:hAnsi="宋体" w:eastAsia="宋体" w:cs="宋体"/>
          <w:bCs/>
          <w:color w:val="auto"/>
          <w:sz w:val="28"/>
          <w:szCs w:val="28"/>
          <w:highlight w:val="none"/>
        </w:rPr>
        <w:t xml:space="preserve">：</w:t>
      </w:r>
      <w:bookmarkEnd w:id="62"/>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center"/>
        <w:rPr>
          <w:rFonts w:hint="eastAsia" w:ascii="宋体" w:hAnsi="宋体" w:eastAsia="宋体" w:cs="宋体"/>
          <w:bCs/>
          <w:color w:val="auto"/>
          <w:sz w:val="36"/>
          <w:szCs w:val="36"/>
          <w:highlight w:val="none"/>
        </w:rPr>
      </w:pPr>
      <w:r/>
      <w:bookmarkStart w:id="63" w:name="_Toc4431_WPSOffice_Level1"/>
      <w:r>
        <w:rPr>
          <w:rFonts w:hint="eastAsia" w:ascii="宋体" w:hAnsi="宋体" w:eastAsia="宋体" w:cs="宋体"/>
          <w:bCs/>
          <w:color w:val="auto"/>
          <w:sz w:val="36"/>
          <w:szCs w:val="36"/>
          <w:highlight w:val="none"/>
        </w:rPr>
        <w:t xml:space="preserve">   年  月  日</w:t>
      </w:r>
      <w:bookmarkEnd w:id="63"/>
      <w:r/>
      <w:r/>
    </w:p>
    <w:p>
      <w:pPr>
        <w:jc w:val="left"/>
        <w:rPr>
          <w:rStyle w:val="1012"/>
          <w:rFonts w:hint="eastAsia" w:ascii="宋体" w:hAnsi="宋体" w:eastAsia="宋体" w:cs="宋体"/>
          <w:b w:val="0"/>
          <w:color w:val="auto"/>
          <w:highlight w:val="none"/>
        </w:rPr>
      </w:pPr>
      <w:r>
        <w:rPr>
          <w:rFonts w:hint="eastAsia" w:ascii="宋体" w:hAnsi="宋体" w:eastAsia="宋体" w:cs="宋体"/>
          <w:color w:val="auto"/>
          <w:sz w:val="32"/>
          <w:szCs w:val="32"/>
          <w:highlight w:val="none"/>
        </w:rPr>
        <w:br w:type="page" w:clear="all"/>
      </w:r>
      <w:bookmarkEnd w:id="56"/>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投 标 函</w:t>
      </w:r>
      <w:r/>
    </w:p>
    <w:p>
      <w:pPr>
        <w:ind w:left="48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jc w:val="left"/>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泰州市民政局、泰州市慈善总会：</w:t>
      </w:r>
      <w:r/>
    </w:p>
    <w:p>
      <w:pPr>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u w:val="single"/>
        </w:rPr>
        <w:t xml:space="preserve">签字代表（全名，职务）</w:t>
      </w:r>
      <w:r>
        <w:rPr>
          <w:rFonts w:hint="eastAsia" w:ascii="宋体" w:hAnsi="宋体" w:eastAsia="宋体" w:cs="宋体"/>
          <w:sz w:val="24"/>
          <w:szCs w:val="24"/>
        </w:rPr>
        <w:t xml:space="preserve">经正式授权并代表</w:t>
      </w:r>
      <w:r>
        <w:rPr>
          <w:rFonts w:hint="eastAsia" w:ascii="宋体" w:hAnsi="宋体" w:eastAsia="宋体" w:cs="宋体"/>
          <w:sz w:val="24"/>
          <w:szCs w:val="24"/>
          <w:u w:val="single"/>
        </w:rPr>
        <w:t xml:space="preserve">投标人（投标人名称）</w:t>
      </w:r>
      <w:r>
        <w:rPr>
          <w:rFonts w:hint="eastAsia" w:ascii="宋体" w:hAnsi="宋体" w:eastAsia="宋体" w:cs="宋体"/>
          <w:sz w:val="24"/>
          <w:szCs w:val="24"/>
        </w:rPr>
        <w:t xml:space="preserve">递交</w:t>
      </w:r>
      <w:r>
        <w:rPr>
          <w:rFonts w:hint="eastAsia" w:ascii="宋体" w:hAnsi="宋体" w:eastAsia="宋体" w:cs="宋体"/>
          <w:sz w:val="24"/>
          <w:szCs w:val="24"/>
          <w:u w:val="single"/>
        </w:rPr>
        <w:t xml:space="preserve">牵手夕阳老年人意外伤害保险</w:t>
      </w:r>
      <w:r>
        <w:rPr>
          <w:rFonts w:hint="eastAsia" w:ascii="宋体" w:hAnsi="宋体" w:eastAsia="宋体" w:cs="宋体"/>
          <w:sz w:val="24"/>
          <w:szCs w:val="24"/>
        </w:rPr>
        <w:t xml:space="preserve">投标文件，我们愿意按照后附报价条件，遵照采购文件的要求承担本产品的保险服务，并对之负法律责任。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据此投标函，签字代表宣布同意如下：</w:t>
      </w:r>
      <w:r/>
    </w:p>
    <w:p>
      <w:pPr>
        <w:pStyle w:val="96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1.完全理解和接受全部采购文件（包括修改文件、参考资料和有关附件）的一切规定和要求。</w:t>
      </w:r>
      <w:r/>
    </w:p>
    <w:p>
      <w:pPr>
        <w:pStyle w:val="96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2.我方承诺：按照相关规定签订采购协议并履行相关义务。</w:t>
      </w:r>
      <w:r/>
    </w:p>
    <w:p>
      <w:pPr>
        <w:pStyle w:val="96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.投标人承诺按实收保费的4.85%，向采购人确定的第三方机构支付本项目的履约管理费，并服从第三方机构对投标人履约情况进行的监督评价与综合管理。</w:t>
      </w:r>
      <w:r/>
    </w:p>
    <w:p>
      <w:pPr>
        <w:pStyle w:val="967"/>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.为了便于管理，投标人承诺提取不高于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%（请填报具体比例）的实收保费，用于防灾、防损、宣传宣讲等相关工作。</w:t>
      </w:r>
      <w:r/>
    </w:p>
    <w:p>
      <w:pPr>
        <w:pStyle w:val="967"/>
        <w:jc w:val="left"/>
        <w:spacing w:line="360" w:lineRule="auto"/>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.我方承诺已经具备招标公告中要求的保险投标人资</w:t>
      </w:r>
      <w:r>
        <w:rPr>
          <w:rFonts w:hint="eastAsia" w:ascii="宋体" w:hAnsi="宋体" w:eastAsia="宋体" w:cs="宋体"/>
          <w:sz w:val="24"/>
          <w:szCs w:val="24"/>
        </w:rPr>
        <w:t xml:space="preserve">质条件。</w:t>
      </w:r>
      <w:r/>
    </w:p>
    <w:p>
      <w:pPr>
        <w:pStyle w:val="967"/>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.我方同意提供按照贵方可能要求的与采购有关的一切数据和资料，理解贵方不一定要接受最低价的报价或收到的任何报价。</w:t>
      </w:r>
      <w:r/>
    </w:p>
    <w:p>
      <w:pPr>
        <w:pStyle w:val="967"/>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.在整个采购过程中，我方若有违规行为，贵方可按采购文件之规定给予惩罚，我方完全接受。</w:t>
      </w:r>
      <w:r/>
    </w:p>
    <w:p>
      <w:pPr>
        <w:pStyle w:val="967"/>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.在整个采购过程中及采购结束后，未经采购人书面同意，我方保证不向任何第三方泄露本次采购的任何信息、资料及内容。</w:t>
      </w:r>
      <w:r/>
    </w:p>
    <w:p>
      <w:pPr>
        <w:pStyle w:val="967"/>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.投标文件中所有关于投标人资格的文件、证明、陈述均是真实的、准确的。若有违背，我方承担由此而产生的一切后果。</w:t>
      </w:r>
      <w:r/>
    </w:p>
    <w:p>
      <w:pPr>
        <w:pStyle w:val="967"/>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.投标有效期：响应截止之日起90天。</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sz w:val="24"/>
          <w:szCs w:val="24"/>
        </w:rPr>
        <w:t xml:space="preserve">）</w:t>
      </w:r>
      <w:r/>
    </w:p>
    <w:p>
      <w:pPr>
        <w:ind w:firstLine="47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rPr>
          <w:rFonts w:hint="eastAsia" w:ascii="宋体" w:hAnsi="宋体" w:eastAsia="宋体" w:cs="宋体"/>
          <w:sz w:val="24"/>
          <w:szCs w:val="24"/>
          <w:u w:val="single"/>
        </w:rPr>
        <w:t xml:space="preserve">              </w:t>
      </w:r>
      <w:r/>
    </w:p>
    <w:p>
      <w:pPr>
        <w:ind w:firstLine="47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jc w:val="cente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br w:type="page" w:clear="all"/>
      </w:r>
      <w:r/>
    </w:p>
    <w:p>
      <w:pPr>
        <w:jc w:val="center"/>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关于资格的声明函</w:t>
      </w:r>
      <w:r/>
    </w:p>
    <w:p>
      <w:pPr>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85"/>
        <w:ind w:left="0"/>
        <w:keepLines w:val="0"/>
        <w:keepNext w:val="0"/>
        <w:pageBreakBefore w:val="0"/>
        <w:spacing w:after="0" w:line="360" w:lineRule="auto"/>
        <w:widowControl w:val="off"/>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u w:val="single"/>
          <w:lang w:val="en-US" w:eastAsia="zh-CN"/>
        </w:rPr>
        <w:t xml:space="preserve">           </w:t>
      </w:r>
      <w:r>
        <w:rPr>
          <w:rFonts w:hint="eastAsia" w:ascii="宋体" w:hAnsi="宋体" w:eastAsia="宋体" w:cs="宋体"/>
          <w:bCs/>
          <w:iCs/>
          <w:color w:val="auto"/>
          <w:sz w:val="24"/>
          <w:szCs w:val="24"/>
          <w:highlight w:val="none"/>
          <w:u w:val="single"/>
          <w:lang w:eastAsia="zh-CN"/>
        </w:rPr>
        <w:t xml:space="preserve">（</w:t>
      </w:r>
      <w:r>
        <w:rPr>
          <w:rFonts w:hint="eastAsia" w:ascii="宋体" w:hAnsi="宋体" w:eastAsia="宋体" w:cs="宋体"/>
          <w:bCs/>
          <w:iCs/>
          <w:color w:val="auto"/>
          <w:sz w:val="24"/>
          <w:szCs w:val="24"/>
          <w:highlight w:val="none"/>
          <w:u w:val="single"/>
          <w:lang w:val="en-US" w:eastAsia="zh-CN"/>
        </w:rPr>
        <w:t xml:space="preserve">采购人</w:t>
      </w:r>
      <w:r>
        <w:rPr>
          <w:rFonts w:hint="eastAsia" w:ascii="宋体" w:hAnsi="宋体" w:eastAsia="宋体" w:cs="宋体"/>
          <w:bCs/>
          <w:iCs/>
          <w:color w:val="auto"/>
          <w:sz w:val="24"/>
          <w:szCs w:val="24"/>
          <w:highlight w:val="none"/>
          <w:u w:val="single"/>
          <w:lang w:eastAsia="zh-CN"/>
        </w:rPr>
        <w:t xml:space="preserve">）</w:t>
      </w:r>
      <w:r>
        <w:rPr>
          <w:rFonts w:hint="eastAsia" w:ascii="宋体" w:hAnsi="宋体" w:eastAsia="宋体" w:cs="宋体"/>
          <w:bCs/>
          <w:iCs/>
          <w:color w:val="auto"/>
          <w:sz w:val="24"/>
          <w:szCs w:val="24"/>
          <w:highlight w:val="none"/>
        </w:rPr>
        <w:t xml:space="preserve">：</w:t>
      </w:r>
      <w:r/>
    </w:p>
    <w:p>
      <w:pPr>
        <w:ind w:firstLine="480"/>
        <w:spacing w:line="480" w:lineRule="auto"/>
        <w:rPr>
          <w:rFonts w:hint="eastAsia" w:ascii="宋体" w:hAnsi="宋体" w:eastAsia="宋体" w:cs="宋体"/>
          <w:bCs/>
          <w:color w:val="auto"/>
          <w:sz w:val="28"/>
          <w:szCs w:val="28"/>
          <w:highlight w:val="none"/>
        </w:rPr>
      </w:pPr>
      <w:r>
        <w:rPr>
          <w:rFonts w:hint="eastAsia" w:ascii="宋体" w:hAnsi="宋体" w:eastAsia="宋体" w:cs="宋体"/>
          <w:color w:val="auto"/>
          <w:sz w:val="24"/>
          <w:szCs w:val="24"/>
          <w:highlight w:val="none"/>
        </w:rPr>
        <w:t xml:space="preserve">我公司（单位）参加本次项目（</w:t>
      </w:r>
      <w:r>
        <w:rPr>
          <w:rFonts w:hint="eastAsia" w:ascii="宋体" w:hAnsi="宋体" w:eastAsia="宋体" w:cs="宋体"/>
          <w:color w:val="auto"/>
          <w:sz w:val="24"/>
          <w:szCs w:val="24"/>
          <w:highlight w:val="none"/>
          <w:lang w:val="en-US" w:eastAsia="zh-CN"/>
        </w:rPr>
        <w:t xml:space="preserve">项目编号              </w:t>
      </w:r>
      <w:r>
        <w:rPr>
          <w:rFonts w:hint="eastAsia" w:ascii="宋体" w:hAnsi="宋体" w:eastAsia="宋体" w:cs="宋体"/>
          <w:color w:val="auto"/>
          <w:sz w:val="24"/>
          <w:szCs w:val="24"/>
          <w:highlight w:val="none"/>
        </w:rPr>
        <w:t xml:space="preserve">）政府采购活动前三年内，在经营活动中没有重大违法记录，我公司（单位）愿针对本次项目进行投标，投标文件中所有关于投标资格的文件、证明、陈述均是真实的、准确的。若有违背，我</w:t>
      </w:r>
      <w:r>
        <w:rPr>
          <w:rFonts w:hint="eastAsia" w:ascii="宋体" w:hAnsi="宋体" w:eastAsia="宋体" w:cs="宋体"/>
          <w:color w:val="auto"/>
          <w:sz w:val="24"/>
          <w:szCs w:val="24"/>
          <w:highlight w:val="none"/>
          <w:u w:val="single"/>
        </w:rPr>
        <w:t xml:space="preserve">公司（单位）</w:t>
      </w:r>
      <w:r>
        <w:rPr>
          <w:rFonts w:hint="eastAsia" w:ascii="宋体" w:hAnsi="宋体" w:eastAsia="宋体" w:cs="宋体"/>
          <w:color w:val="auto"/>
          <w:sz w:val="24"/>
          <w:szCs w:val="24"/>
          <w:highlight w:val="none"/>
        </w:rPr>
        <w:t xml:space="preserve">愿意承担由此而产生的一切后果。</w:t>
      </w:r>
      <w:r/>
    </w:p>
    <w:p>
      <w:pPr>
        <w:spacing w:line="48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0"/>
        <w:jc w:val="right"/>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                        </w:t>
      </w:r>
      <w:r>
        <w:rPr>
          <w:rFonts w:hint="eastAsia" w:ascii="宋体" w:hAnsi="宋体" w:eastAsia="宋体" w:cs="宋体"/>
          <w:bCs/>
          <w:color w:val="auto"/>
          <w:sz w:val="24"/>
          <w:highlight w:val="none"/>
        </w:rPr>
        <w:t xml:space="preserve">法定代表人或授权代表（签字或盖章）：</w:t>
      </w:r>
      <w:r/>
    </w:p>
    <w:p>
      <w:pPr>
        <w:ind w:firstLine="480"/>
        <w:jc w:val="right"/>
        <w:spacing w:line="400" w:lineRule="exact"/>
        <w:rPr>
          <w:rFonts w:hint="eastAsia" w:ascii="宋体" w:hAnsi="宋体" w:eastAsia="宋体" w:cs="宋体"/>
          <w:bCs/>
          <w:color w:val="auto"/>
          <w:sz w:val="24"/>
          <w:highlight w:val="none"/>
        </w:rPr>
      </w:pPr>
      <w:r/>
      <w:bookmarkStart w:id="64" w:name="OLE_LINK21"/>
      <w:r>
        <w:rPr>
          <w:rFonts w:hint="eastAsia" w:ascii="宋体" w:hAnsi="宋体" w:eastAsia="宋体" w:cs="宋体"/>
          <w:bCs/>
          <w:color w:val="auto"/>
          <w:sz w:val="24"/>
          <w:highlight w:val="none"/>
        </w:rPr>
        <w:t xml:space="preserve">单位名称（加盖CA电子公章）：</w:t>
      </w:r>
      <w:r/>
    </w:p>
    <w:p>
      <w:pPr>
        <w:ind w:firstLine="56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End w:id="64"/>
      <w:r/>
      <w:r/>
    </w:p>
    <w:p>
      <w:pPr>
        <w:pStyle w:val="954"/>
        <w:jc w:val="center"/>
        <w:keepLines w:val="0"/>
        <w:keepNext w:val="0"/>
        <w:widowControl/>
        <w:rPr>
          <w:rStyle w:val="1012"/>
          <w:rFonts w:hint="eastAsia" w:ascii="宋体" w:hAnsi="宋体" w:eastAsia="宋体" w:cs="宋体"/>
          <w:b w:val="0"/>
          <w:color w:val="auto"/>
          <w:sz w:val="28"/>
          <w:szCs w:val="13"/>
          <w:highlight w:val="none"/>
        </w:rPr>
      </w:pPr>
      <w:r>
        <w:rPr>
          <w:rFonts w:hint="eastAsia" w:ascii="宋体" w:hAnsi="宋体" w:eastAsia="宋体" w:cs="宋体"/>
          <w:b w:val="0"/>
          <w:color w:val="auto"/>
          <w:sz w:val="28"/>
          <w:szCs w:val="13"/>
          <w:highlight w:val="none"/>
        </w:rPr>
      </w:r>
      <w:r/>
    </w:p>
    <w:p>
      <w:pPr>
        <w:pStyle w:val="954"/>
        <w:jc w:val="center"/>
        <w:keepLines w:val="0"/>
        <w:keepNext w:val="0"/>
        <w:widowControl/>
        <w:rPr>
          <w:rStyle w:val="1012"/>
          <w:rFonts w:hint="eastAsia" w:ascii="宋体" w:hAnsi="宋体" w:eastAsia="宋体" w:cs="宋体"/>
          <w:b w:val="0"/>
          <w:color w:val="auto"/>
          <w:sz w:val="28"/>
          <w:szCs w:val="13"/>
          <w:highlight w:val="none"/>
        </w:rPr>
      </w:pPr>
      <w:r>
        <w:rPr>
          <w:rFonts w:hint="eastAsia" w:ascii="宋体" w:hAnsi="宋体" w:eastAsia="宋体" w:cs="宋体"/>
          <w:b w:val="0"/>
          <w:color w:val="auto"/>
          <w:sz w:val="28"/>
          <w:szCs w:val="13"/>
          <w:highlight w:val="none"/>
        </w:rPr>
      </w:r>
      <w:r/>
    </w:p>
    <w:p>
      <w:pPr>
        <w:pStyle w:val="954"/>
        <w:jc w:val="center"/>
        <w:keepLines w:val="0"/>
        <w:keepNext w:val="0"/>
        <w:widowControl/>
        <w:rPr>
          <w:rStyle w:val="1012"/>
          <w:rFonts w:hint="eastAsia" w:ascii="宋体" w:hAnsi="宋体" w:eastAsia="宋体" w:cs="宋体"/>
          <w:b w:val="0"/>
          <w:color w:val="auto"/>
          <w:sz w:val="28"/>
          <w:szCs w:val="13"/>
          <w:highlight w:val="none"/>
        </w:rPr>
      </w:pPr>
      <w:r>
        <w:rPr>
          <w:rFonts w:hint="eastAsia" w:ascii="宋体" w:hAnsi="宋体" w:eastAsia="宋体" w:cs="宋体"/>
          <w:b w:val="0"/>
          <w:color w:val="auto"/>
          <w:sz w:val="28"/>
          <w:szCs w:val="13"/>
          <w:highlight w:val="none"/>
        </w:rPr>
      </w:r>
      <w:r/>
    </w:p>
    <w:p>
      <w:pPr>
        <w:pStyle w:val="954"/>
        <w:jc w:val="center"/>
        <w:keepLines w:val="0"/>
        <w:keepNext w:val="0"/>
        <w:widowControl/>
        <w:rPr>
          <w:rStyle w:val="1012"/>
          <w:rFonts w:hint="eastAsia" w:ascii="宋体" w:hAnsi="宋体" w:eastAsia="宋体" w:cs="宋体"/>
          <w:b w:val="0"/>
          <w:color w:val="auto"/>
          <w:sz w:val="28"/>
          <w:szCs w:val="13"/>
          <w:highlight w:val="none"/>
        </w:rPr>
      </w:pPr>
      <w:r>
        <w:rPr>
          <w:rFonts w:hint="eastAsia" w:ascii="宋体" w:hAnsi="宋体" w:eastAsia="宋体" w:cs="宋体"/>
          <w:b w:val="0"/>
          <w:color w:val="auto"/>
          <w:sz w:val="28"/>
          <w:szCs w:val="13"/>
          <w:highlight w:val="none"/>
        </w:rPr>
      </w:r>
      <w:r/>
    </w:p>
    <w:p>
      <w:pPr>
        <w:pStyle w:val="954"/>
        <w:jc w:val="center"/>
        <w:keepLines w:val="0"/>
        <w:keepNext w:val="0"/>
        <w:widowControl/>
        <w:rPr>
          <w:rStyle w:val="1012"/>
          <w:rFonts w:hint="eastAsia" w:ascii="宋体" w:hAnsi="宋体" w:eastAsia="宋体" w:cs="宋体"/>
          <w:b w:val="0"/>
          <w:color w:val="auto"/>
          <w:sz w:val="28"/>
          <w:szCs w:val="13"/>
          <w:highlight w:val="none"/>
        </w:rPr>
      </w:pPr>
      <w:r>
        <w:rPr>
          <w:rFonts w:hint="eastAsia" w:ascii="宋体" w:hAnsi="宋体" w:eastAsia="宋体" w:cs="宋体"/>
          <w:b w:val="0"/>
          <w:color w:val="auto"/>
          <w:sz w:val="28"/>
          <w:szCs w:val="13"/>
          <w:highlight w:val="none"/>
        </w:rPr>
      </w:r>
      <w:r/>
    </w:p>
    <w:p>
      <w:pPr>
        <w:pStyle w:val="954"/>
        <w:jc w:val="center"/>
        <w:keepLines w:val="0"/>
        <w:keepNext w:val="0"/>
        <w:widowControl/>
        <w:rPr>
          <w:rStyle w:val="1012"/>
          <w:rFonts w:hint="eastAsia" w:ascii="宋体" w:hAnsi="宋体" w:eastAsia="宋体" w:cs="宋体"/>
          <w:b w:val="0"/>
          <w:color w:val="auto"/>
          <w:sz w:val="28"/>
          <w:szCs w:val="13"/>
          <w:highlight w:val="none"/>
        </w:rPr>
      </w:pPr>
      <w:r>
        <w:rPr>
          <w:rFonts w:hint="eastAsia" w:ascii="宋体" w:hAnsi="宋体" w:eastAsia="宋体" w:cs="宋体"/>
          <w:b w:val="0"/>
          <w:color w:val="auto"/>
          <w:sz w:val="28"/>
          <w:szCs w:val="13"/>
          <w:highlight w:val="none"/>
        </w:rPr>
      </w:r>
      <w:r/>
    </w:p>
    <w:p>
      <w:pPr>
        <w:pStyle w:val="954"/>
        <w:jc w:val="center"/>
        <w:keepLines w:val="0"/>
        <w:keepNext w:val="0"/>
        <w:widowControl/>
        <w:rPr>
          <w:rStyle w:val="1012"/>
          <w:rFonts w:hint="eastAsia" w:ascii="宋体" w:hAnsi="宋体" w:eastAsia="宋体" w:cs="宋体"/>
          <w:b w:val="0"/>
          <w:color w:val="auto"/>
          <w:sz w:val="28"/>
          <w:szCs w:val="13"/>
          <w:highlight w:val="none"/>
        </w:rPr>
      </w:pPr>
      <w:r>
        <w:rPr>
          <w:rFonts w:hint="eastAsia" w:ascii="宋体" w:hAnsi="宋体" w:eastAsia="宋体" w:cs="宋体"/>
          <w:b w:val="0"/>
          <w:color w:val="auto"/>
          <w:sz w:val="28"/>
          <w:szCs w:val="13"/>
          <w:highlight w:val="none"/>
        </w:rPr>
      </w:r>
      <w:r/>
    </w:p>
    <w:p>
      <w:pPr>
        <w:pStyle w:val="954"/>
        <w:jc w:val="center"/>
        <w:keepLines w:val="0"/>
        <w:keepNext w:val="0"/>
        <w:widowControl/>
        <w:rPr>
          <w:rFonts w:hint="eastAsia" w:ascii="宋体" w:hAnsi="宋体" w:eastAsia="宋体" w:cs="宋体"/>
          <w:color w:val="auto"/>
          <w:sz w:val="28"/>
          <w:szCs w:val="13"/>
          <w:highlight w:val="none"/>
        </w:rPr>
      </w:pPr>
      <w:r>
        <w:rPr>
          <w:rStyle w:val="1012"/>
          <w:rFonts w:hint="eastAsia" w:ascii="宋体" w:hAnsi="宋体" w:eastAsia="宋体" w:cs="宋体"/>
          <w:b w:val="0"/>
          <w:color w:val="auto"/>
          <w:sz w:val="28"/>
          <w:szCs w:val="13"/>
          <w:highlight w:val="none"/>
        </w:rPr>
        <w:t xml:space="preserve">开标一览表</w:t>
      </w:r>
      <w:r/>
    </w:p>
    <w:p>
      <w:pPr>
        <w:pStyle w:val="100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项目编号：</w:t>
      </w:r>
      <w:r/>
    </w:p>
    <w:p>
      <w:pPr>
        <w:pStyle w:val="100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t xml:space="preserve">货币单位：人民币元</w:t>
      </w:r>
      <w:r/>
    </w:p>
    <w:tbl>
      <w:tblPr>
        <w:tblStyle w:val="735"/>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00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00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项目内容</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00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 总价（小写）</w:t>
            </w:r>
            <w:r/>
          </w:p>
        </w:tc>
      </w:tr>
      <w:tr>
        <w:trPr>
          <w:trHeight w:val="1091"/>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spacing w:line="500" w:lineRule="exact"/>
              <w:rPr>
                <w:rFonts w:hint="eastAsia" w:ascii="宋体" w:hAnsi="宋体" w:eastAsia="宋体" w:cs="宋体"/>
                <w:color w:val="auto"/>
                <w:sz w:val="22"/>
                <w:szCs w:val="22"/>
                <w:highlight w:val="none"/>
              </w:rPr>
            </w:pPr>
            <w:r>
              <w:rPr>
                <w:rFonts w:hint="eastAsia" w:ascii="宋体" w:hAnsi="宋体" w:eastAsia="宋体" w:cs="宋体"/>
                <w:color w:val="auto"/>
                <w:sz w:val="27"/>
                <w:szCs w:val="27"/>
                <w:highlight w:val="none"/>
              </w:rPr>
              <w:t xml:space="preserve">项目名称</w:t>
            </w:r>
            <w:r/>
          </w:p>
        </w:tc>
        <w:tc>
          <w:tcPr>
            <w:tcBorders>
              <w:top w:val="single" w:color="CCCCCC" w:sz="6" w:space="0"/>
              <w:left w:val="single" w:color="CCCCCC" w:sz="6" w:space="0"/>
              <w:bottom w:val="single" w:color="CCCCCC" w:sz="6" w:space="0"/>
              <w:right w:val="single" w:color="CCCCCC" w:sz="6" w:space="0"/>
            </w:tcBorders>
            <w:tcW w:w="2551" w:type="dxa"/>
            <w:vAlign w:val="center"/>
            <w:textDirection w:val="lrTb"/>
            <w:noWrap w:val="false"/>
          </w:tcPr>
          <w:p>
            <w:pPr>
              <w:pStyle w:val="1001"/>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 xml:space="preserve">详见投标文件</w:t>
            </w:r>
            <w:r/>
          </w:p>
        </w:tc>
        <w:tc>
          <w:tcPr>
            <w:tcBorders>
              <w:top w:val="single" w:color="CCCCCC" w:sz="6" w:space="0"/>
              <w:left w:val="single" w:color="CCCCCC" w:sz="6" w:space="0"/>
              <w:bottom w:val="single" w:color="CCCCCC" w:sz="6" w:space="0"/>
              <w:right w:val="single" w:color="CCCCCC" w:sz="6" w:space="0"/>
            </w:tcBorders>
            <w:tcW w:w="3779" w:type="dxa"/>
            <w:vAlign w:val="center"/>
            <w:textDirection w:val="lrTb"/>
            <w:noWrap w:val="false"/>
          </w:tcPr>
          <w:p>
            <w:pPr>
              <w:pStyle w:val="1001"/>
              <w:rPr>
                <w:rFonts w:hint="eastAsia" w:ascii="宋体" w:hAnsi="宋体" w:eastAsia="宋体" w:cs="宋体"/>
                <w:color w:val="auto"/>
                <w:highlight w:val="none"/>
              </w:rPr>
            </w:pPr>
            <w:r>
              <w:rPr>
                <w:rFonts w:hint="eastAsia" w:ascii="宋体" w:hAnsi="宋体" w:eastAsia="宋体" w:cs="宋体"/>
                <w:color w:val="auto"/>
                <w:sz w:val="27"/>
                <w:szCs w:val="27"/>
                <w:highlight w:val="none"/>
                <w:shd w:val="clear" w:color="auto" w:fill="ffffff"/>
              </w:rPr>
              <w:fldChar w:fldCharType="begin"/>
            </w:r>
            <w:r>
              <w:rPr>
                <w:rFonts w:hint="eastAsia" w:ascii="宋体" w:hAnsi="宋体" w:eastAsia="宋体" w:cs="宋体"/>
                <w:color w:val="auto"/>
                <w:sz w:val="27"/>
                <w:szCs w:val="27"/>
                <w:highlight w:val="none"/>
                <w:shd w:val="clear" w:color="auto" w:fill="ffffff"/>
              </w:rPr>
              <w:instrText xml:space="preserve"> CONTROL Forms.HTML:Text.1 \s </w:instrText>
            </w:r>
            <w:r>
              <w:rPr>
                <w:rFonts w:hint="eastAsia" w:ascii="宋体" w:hAnsi="宋体" w:eastAsia="宋体" w:cs="宋体"/>
                <w:color w:val="auto"/>
                <w:sz w:val="27"/>
                <w:szCs w:val="27"/>
                <w:highlight w:val="none"/>
                <w:shd w:val="clear" w:color="auto" w:fill="ffffff"/>
              </w:rPr>
              <w:fldChar w:fldCharType="separate"/>
            </w:r>
            <w:r>
              <w:rPr>
                <w:rFonts w:hint="eastAsia" w:ascii="宋体" w:hAnsi="宋体" w:eastAsia="宋体" w:cs="宋体"/>
                <w:color w:val="auto"/>
                <w:sz w:val="27"/>
                <w:szCs w:val="27"/>
                <w:highlight w:val="none"/>
                <w:shd w:val="clear" w:color="auto" w:fill="ffffff"/>
              </w:rPr>
              <mc:AlternateContent>
                <mc:Choice Requires="wpg">
                  <w:drawing>
                    <wp:inline xmlns:wp="http://schemas.openxmlformats.org/drawingml/2006/wordprocessingDrawing" distT="0" distB="0" distL="0" distR="0">
                      <wp:extent cx="609600" cy="2286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4"/>
                              <a:stretch/>
                            </pic:blipFill>
                            <pic:spPr bwMode="auto">
                              <a:xfrm>
                                <a:off x="0" y="0"/>
                                <a:ext cx="609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0pt;height:18.0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color w:val="auto"/>
                <w:sz w:val="27"/>
                <w:szCs w:val="27"/>
                <w:highlight w:val="none"/>
                <w:shd w:val="clear" w:color="auto" w:fill="ffffff"/>
              </w:rPr>
              <w:fldChar w:fldCharType="end"/>
            </w:r>
            <w:r>
              <w:rPr>
                <w:rFonts w:hint="eastAsia" w:ascii="宋体" w:hAnsi="宋体" w:eastAsia="宋体" w:cs="宋体"/>
                <w:color w:val="auto"/>
                <w:sz w:val="27"/>
                <w:szCs w:val="27"/>
                <w:highlight w:val="none"/>
              </w:rPr>
              <w:t xml:space="preserve"> 元 </w:t>
            </w:r>
            <w:r/>
          </w:p>
        </w:tc>
      </w:tr>
      <w:tr>
        <w:trPr/>
        <w:tc>
          <w:tcPr>
            <w:tcBorders>
              <w:top w:val="single" w:color="CCCCCC" w:sz="6" w:space="0"/>
              <w:left w:val="single" w:color="CCCCCC" w:sz="6" w:space="0"/>
              <w:bottom w:val="single" w:color="CCCCCC" w:sz="6" w:space="0"/>
              <w:right w:val="single" w:color="CCCCCC" w:sz="6" w:space="0"/>
            </w:tcBorders>
            <w:tcW w:w="2567" w:type="dxa"/>
            <w:vAlign w:val="center"/>
            <w:textDirection w:val="lrTb"/>
            <w:noWrap w:val="false"/>
          </w:tcPr>
          <w:p>
            <w:pPr>
              <w:pStyle w:val="100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总价（大写）：</w:t>
            </w:r>
            <w:r/>
          </w:p>
        </w:tc>
        <w:tc>
          <w:tcPr>
            <w:gridSpan w:val="2"/>
            <w:tcBorders>
              <w:top w:val="single" w:color="CCCCCC" w:sz="6" w:space="0"/>
              <w:left w:val="single" w:color="CCCCCC" w:sz="6" w:space="0"/>
              <w:bottom w:val="single" w:color="CCCCCC" w:sz="6" w:space="0"/>
              <w:right w:val="single" w:color="CCCCCC" w:sz="6" w:space="0"/>
            </w:tcBorders>
            <w:tcW w:w="6330" w:type="dxa"/>
            <w:vAlign w:val="center"/>
            <w:textDirection w:val="lrTb"/>
            <w:noWrap w:val="false"/>
          </w:tcPr>
          <w:p>
            <w:pPr>
              <w:pStyle w:val="1001"/>
              <w:rPr>
                <w:rFonts w:hint="eastAsia" w:ascii="宋体" w:hAnsi="宋体" w:eastAsia="宋体" w:cs="宋体"/>
                <w:color w:val="auto"/>
                <w:highlight w:val="none"/>
              </w:rPr>
            </w:pPr>
            <w:r>
              <w:rPr>
                <w:rFonts w:hint="eastAsia" w:ascii="宋体" w:hAnsi="宋体" w:eastAsia="宋体" w:cs="宋体"/>
                <w:color w:val="auto"/>
                <w:sz w:val="27"/>
                <w:szCs w:val="27"/>
                <w:highlight w:val="none"/>
              </w:rPr>
              <w:t xml:space="preserve">金额大写 </w:t>
            </w:r>
            <w:r/>
          </w:p>
        </w:tc>
      </w:tr>
    </w:tbl>
    <w:p>
      <w:pPr>
        <w:pStyle w:val="100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0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pStyle w:val="1001"/>
        <w:rPr>
          <w:rFonts w:hint="eastAsia" w:ascii="宋体" w:hAnsi="宋体" w:eastAsia="宋体" w:cs="宋体"/>
          <w:color w:val="auto"/>
          <w:sz w:val="27"/>
          <w:szCs w:val="27"/>
          <w:highlight w:val="none"/>
        </w:rPr>
      </w:pPr>
      <w:r>
        <w:rPr>
          <w:rFonts w:hint="eastAsia" w:ascii="宋体" w:hAnsi="宋体" w:eastAsia="宋体" w:cs="宋体"/>
          <w:color w:val="auto"/>
          <w:sz w:val="27"/>
          <w:szCs w:val="27"/>
          <w:highlight w:val="none"/>
        </w:rPr>
      </w:r>
      <w:r/>
    </w:p>
    <w:p>
      <w:pPr>
        <w:ind w:firstLine="540"/>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7"/>
          <w:szCs w:val="27"/>
          <w:highlight w:val="none"/>
        </w:rPr>
        <w:t xml:space="preserve">投标人公章： （</w:t>
      </w:r>
      <w:r>
        <w:rPr>
          <w:rFonts w:hint="eastAsia" w:ascii="宋体" w:hAnsi="宋体" w:eastAsia="宋体" w:cs="宋体"/>
          <w:bCs/>
          <w:color w:val="auto"/>
          <w:sz w:val="28"/>
          <w:szCs w:val="21"/>
          <w:highlight w:val="none"/>
        </w:rPr>
        <w:t xml:space="preserve">加盖CA电子公章</w:t>
      </w:r>
      <w:r>
        <w:rPr>
          <w:rFonts w:hint="eastAsia" w:ascii="宋体" w:hAnsi="宋体" w:eastAsia="宋体" w:cs="宋体"/>
          <w:color w:val="auto"/>
          <w:sz w:val="27"/>
          <w:szCs w:val="27"/>
          <w:highlight w:val="none"/>
        </w:rPr>
        <w:t xml:space="preserve">）</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763"/>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101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10"/>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法定代表人</w:t>
      </w:r>
      <w:r>
        <w:rPr>
          <w:rFonts w:hint="eastAsia" w:ascii="宋体" w:hAnsi="宋体" w:eastAsia="宋体" w:cs="宋体"/>
          <w:b/>
          <w:color w:val="auto"/>
          <w:sz w:val="30"/>
          <w:szCs w:val="30"/>
          <w:highlight w:val="none"/>
          <w:lang w:eastAsia="zh-CN"/>
        </w:rPr>
        <w:t xml:space="preserve">（</w:t>
      </w:r>
      <w:r>
        <w:rPr>
          <w:rFonts w:hint="eastAsia" w:ascii="宋体" w:hAnsi="宋体" w:eastAsia="宋体" w:cs="宋体"/>
          <w:b/>
          <w:color w:val="auto"/>
          <w:sz w:val="30"/>
          <w:szCs w:val="30"/>
          <w:highlight w:val="none"/>
          <w:lang w:val="en-US" w:eastAsia="zh-CN"/>
        </w:rPr>
        <w:t xml:space="preserve">单位负责人</w:t>
      </w:r>
      <w:r>
        <w:rPr>
          <w:rFonts w:hint="eastAsia" w:ascii="宋体" w:hAnsi="宋体" w:eastAsia="宋体" w:cs="宋体"/>
          <w:b/>
          <w:color w:val="auto"/>
          <w:sz w:val="30"/>
          <w:szCs w:val="30"/>
          <w:highlight w:val="none"/>
          <w:lang w:eastAsia="zh-CN"/>
        </w:rPr>
        <w:t xml:space="preserve">）</w:t>
      </w:r>
      <w:r>
        <w:rPr>
          <w:rFonts w:hint="eastAsia" w:ascii="宋体" w:hAnsi="宋体" w:eastAsia="宋体" w:cs="宋体"/>
          <w:b/>
          <w:color w:val="auto"/>
          <w:sz w:val="30"/>
          <w:szCs w:val="30"/>
          <w:highlight w:val="none"/>
        </w:rPr>
        <w:t xml:space="preserve">授权委托书</w:t>
      </w:r>
      <w:r/>
    </w:p>
    <w:p>
      <w:pPr>
        <w:pStyle w:val="967"/>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7"/>
        <w:rPr>
          <w:rFonts w:hint="eastAsia" w:ascii="宋体" w:hAnsi="宋体" w:eastAsia="宋体" w:cs="宋体"/>
          <w:bCs/>
          <w:iCs/>
          <w:color w:val="auto"/>
          <w:szCs w:val="24"/>
          <w:highlight w:val="none"/>
          <w:u w:val="single"/>
        </w:rPr>
      </w:pPr>
      <w:r>
        <w:rPr>
          <w:rFonts w:hint="eastAsia" w:ascii="宋体" w:hAnsi="宋体" w:eastAsia="宋体" w:cs="宋体"/>
          <w:bCs/>
          <w:iCs/>
          <w:color w:val="auto"/>
          <w:szCs w:val="24"/>
          <w:highlight w:val="none"/>
          <w:u w:val="single"/>
        </w:rPr>
      </w:r>
      <w:r/>
    </w:p>
    <w:p>
      <w:pPr>
        <w:pStyle w:val="985"/>
        <w:ind w:left="0"/>
        <w:keepLines w:val="0"/>
        <w:keepNext w:val="0"/>
        <w:pageBreakBefore w:val="0"/>
        <w:spacing w:after="0" w:line="360" w:lineRule="auto"/>
        <w:widowControl w:val="off"/>
        <w:rPr>
          <w:rFonts w:hint="eastAsia" w:ascii="宋体" w:hAnsi="宋体" w:eastAsia="宋体" w:cs="宋体"/>
          <w:color w:val="auto"/>
          <w:szCs w:val="24"/>
          <w:highlight w:val="none"/>
        </w:rPr>
      </w:pPr>
      <w:r>
        <w:rPr>
          <w:rFonts w:hint="eastAsia" w:ascii="宋体" w:hAnsi="宋体" w:eastAsia="宋体" w:cs="宋体"/>
          <w:bCs/>
          <w:iCs/>
          <w:color w:val="auto"/>
          <w:sz w:val="24"/>
          <w:szCs w:val="24"/>
          <w:highlight w:val="none"/>
          <w:u w:val="single"/>
          <w:lang w:val="en-US" w:eastAsia="zh-CN"/>
        </w:rPr>
        <w:t xml:space="preserve">           </w:t>
      </w:r>
      <w:r>
        <w:rPr>
          <w:rFonts w:hint="eastAsia" w:ascii="宋体" w:hAnsi="宋体" w:eastAsia="宋体" w:cs="宋体"/>
          <w:bCs/>
          <w:iCs/>
          <w:color w:val="auto"/>
          <w:sz w:val="24"/>
          <w:szCs w:val="24"/>
          <w:highlight w:val="none"/>
          <w:u w:val="single"/>
          <w:lang w:eastAsia="zh-CN"/>
        </w:rPr>
        <w:t xml:space="preserve">（</w:t>
      </w:r>
      <w:r>
        <w:rPr>
          <w:rFonts w:hint="eastAsia" w:ascii="宋体" w:hAnsi="宋体" w:eastAsia="宋体" w:cs="宋体"/>
          <w:bCs/>
          <w:iCs/>
          <w:color w:val="auto"/>
          <w:sz w:val="24"/>
          <w:szCs w:val="24"/>
          <w:highlight w:val="none"/>
          <w:u w:val="single"/>
          <w:lang w:val="en-US" w:eastAsia="zh-CN"/>
        </w:rPr>
        <w:t xml:space="preserve">采购人</w:t>
      </w:r>
      <w:r>
        <w:rPr>
          <w:rFonts w:hint="eastAsia" w:ascii="宋体" w:hAnsi="宋体" w:eastAsia="宋体" w:cs="宋体"/>
          <w:bCs/>
          <w:iCs/>
          <w:color w:val="auto"/>
          <w:sz w:val="24"/>
          <w:szCs w:val="24"/>
          <w:highlight w:val="none"/>
          <w:u w:val="single"/>
          <w:lang w:eastAsia="zh-CN"/>
        </w:rPr>
        <w:t xml:space="preserve">）</w:t>
      </w:r>
      <w:r>
        <w:rPr>
          <w:rFonts w:hint="eastAsia" w:ascii="宋体" w:hAnsi="宋体" w:eastAsia="宋体" w:cs="宋体"/>
          <w:bCs/>
          <w:iCs/>
          <w:color w:val="auto"/>
          <w:szCs w:val="24"/>
          <w:highlight w:val="none"/>
        </w:rPr>
        <w:t xml:space="preserve">：</w:t>
      </w:r>
      <w:r/>
    </w:p>
    <w:p>
      <w:pPr>
        <w:ind w:firstLine="480"/>
        <w:keepLines w:val="0"/>
        <w:keepNext w:val="0"/>
        <w:pageBreakBefore w:val="0"/>
        <w:spacing w:line="5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系中华人民共和国合法公司（单位），特授权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代表我公司（单位）全权办理针对本项目（</w:t>
      </w:r>
      <w:r>
        <w:rPr>
          <w:rFonts w:hint="eastAsia" w:ascii="宋体" w:hAnsi="宋体" w:eastAsia="宋体" w:cs="宋体"/>
          <w:color w:val="auto"/>
          <w:sz w:val="24"/>
          <w:szCs w:val="24"/>
          <w:highlight w:val="none"/>
          <w:lang w:val="en-US" w:eastAsia="zh-CN"/>
        </w:rPr>
        <w:t xml:space="preserve">项目编号：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highlight w:val="none"/>
        </w:rPr>
        <w:t xml:space="preserve">）的投标、参与开标、评标、签约等具体工作，并签署全部有关的文件、协议及合同。</w:t>
      </w:r>
      <w:r/>
    </w:p>
    <w:p>
      <w:pPr>
        <w:ind w:firstLine="480"/>
        <w:keepLines w:val="0"/>
        <w:keepNext w:val="0"/>
        <w:pageBreakBefore w:val="0"/>
        <w:spacing w:line="5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我公司（单位）对被授权代表的签名负全部责任。</w:t>
      </w:r>
      <w:r/>
    </w:p>
    <w:p>
      <w:pPr>
        <w:ind w:firstLine="480"/>
        <w:keepLines w:val="0"/>
        <w:keepNext w:val="0"/>
        <w:pageBreakBefore w:val="0"/>
        <w:spacing w:line="5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在撤销授权的书面通知送达你处以前，本授权书一直有效，被授权代表签署的所有文件（在授权书有效期内签署的）不因授权的撤销而失效。</w:t>
      </w:r>
      <w:r/>
    </w:p>
    <w:p>
      <w:pPr>
        <w:ind w:firstLine="480"/>
        <w:keepLines w:val="0"/>
        <w:keepNext w:val="0"/>
        <w:pageBreakBefore w:val="0"/>
        <w:spacing w:line="58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被授权代表情况：</w:t>
      </w:r>
      <w:r/>
    </w:p>
    <w:p>
      <w:pPr>
        <w:ind w:firstLine="480"/>
        <w:spacing w:line="580" w:lineRule="exact"/>
        <w:rPr>
          <w:rFonts w:hint="eastAsia" w:ascii="宋体" w:hAnsi="宋体" w:eastAsia="宋体" w:cs="宋体"/>
          <w:color w:val="auto"/>
          <w:sz w:val="21"/>
          <w:szCs w:val="21"/>
          <w:highlight w:val="none"/>
        </w:rPr>
      </w:pPr>
      <w:r>
        <w:rPr>
          <w:rFonts w:hint="eastAsia" w:ascii="宋体" w:hAnsi="宋体" w:eastAsia="宋体" w:cs="宋体"/>
          <w:bCs/>
          <w:color w:val="auto"/>
          <w:sz w:val="24"/>
          <w:highlight w:val="none"/>
        </w:rPr>
        <w:t xml:space="preserve">姓名：         性别：       电话：</w:t>
      </w:r>
      <w:r/>
    </w:p>
    <w:p>
      <w:pPr>
        <w:pStyle w:val="967"/>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7"/>
        <w:jc w:val="both"/>
        <w:rPr>
          <w:rFonts w:hint="default"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附法定代表人（单位负责人）身份证和被授权代表身份证</w:t>
      </w:r>
      <w:r/>
    </w:p>
    <w:p>
      <w:pPr>
        <w:pStyle w:val="967"/>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                                        </w:t>
      </w:r>
      <w:r/>
    </w:p>
    <w:p>
      <w:pPr>
        <w:pStyle w:val="967"/>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967"/>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jc w:val="right"/>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法定代表人（单位负责人）或授权代表（签字或盖章）：</w:t>
      </w:r>
      <w:r/>
    </w:p>
    <w:p>
      <w:pPr>
        <w:ind w:firstLine="2400"/>
        <w:jc w:val="both"/>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单位名称：（加盖CA电子公章）</w:t>
      </w:r>
      <w:r/>
    </w:p>
    <w:p>
      <w:pPr>
        <w:jc w:val="both"/>
        <w:spacing w:line="48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                    </w:t>
      </w:r>
      <w:r>
        <w:rPr>
          <w:rFonts w:hint="eastAsia" w:ascii="宋体" w:hAnsi="宋体" w:eastAsia="宋体" w:cs="宋体"/>
          <w:bCs/>
          <w:color w:val="auto"/>
          <w:sz w:val="24"/>
          <w:highlight w:val="none"/>
        </w:rPr>
        <w:t xml:space="preserve">日    期：</w:t>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7"/>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u w:val="single"/>
        </w:rPr>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br w:type="page" w:clear="all"/>
      </w:r>
      <w:bookmarkEnd w:id="48"/>
      <w:r/>
      <w:bookmarkEnd w:id="49"/>
      <w:r/>
      <w:bookmarkEnd w:id="50"/>
      <w:r/>
      <w:bookmarkEnd w:id="51"/>
      <w:r/>
      <w:bookmarkEnd w:id="52"/>
      <w:r/>
      <w:bookmarkEnd w:id="53"/>
      <w:r/>
      <w:bookmarkEnd w:id="54"/>
      <w:r/>
      <w:r/>
    </w:p>
    <w:p>
      <w:pPr>
        <w:jc w:val="center"/>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无重大违法记录声明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本公司参与贵方组织</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作出如下声明：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本公司参加本次政府采购活动前3年内，在经营活动中没有重大违法记录。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本公司随时接受采购人的检查验证。如违反上述承诺，本公司将按照《中华人民共和国政府采购法》有关规定接受处罚，并通过江苏省相关政府采购媒体予以公布。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特此声明。</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44"/>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p>
      <w:pPr>
        <w:ind w:firstLine="482"/>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投标人：（</w:t>
      </w:r>
      <w:r>
        <w:rPr>
          <w:rFonts w:hint="eastAsia" w:ascii="宋体" w:hAnsi="宋体" w:eastAsia="宋体" w:cs="宋体"/>
          <w:b w:val="0"/>
          <w:bCs w:val="0"/>
          <w:color w:val="auto"/>
          <w:sz w:val="24"/>
          <w:highlight w:val="none"/>
        </w:rPr>
        <w:t xml:space="preserve">加盖CA电子公章</w:t>
      </w:r>
      <w:r>
        <w:rPr>
          <w:rFonts w:hint="eastAsia" w:ascii="宋体" w:hAnsi="宋体" w:eastAsia="宋体" w:cs="宋体"/>
          <w:b w:val="0"/>
          <w:bCs w:val="0"/>
          <w:color w:val="auto"/>
          <w:sz w:val="24"/>
          <w:szCs w:val="24"/>
          <w:highlight w:val="none"/>
        </w:rPr>
        <w:t xml:space="preserve">）</w:t>
      </w:r>
      <w:r/>
    </w:p>
    <w:p>
      <w:pPr>
        <w:ind w:firstLine="482"/>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法定代表人或授权委托代理人 ：（签字或盖章）</w:t>
      </w:r>
      <w:r/>
    </w:p>
    <w:p>
      <w:pPr>
        <w:ind w:firstLine="482"/>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日期：</w:t>
      </w:r>
      <w:r/>
    </w:p>
    <w:p>
      <w:pPr>
        <w:pStyle w:val="737"/>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37"/>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11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4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37"/>
        <w:ind w:firstLine="0"/>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pStyle w:val="737"/>
        <w:ind w:firstLine="0"/>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t xml:space="preserve">具备履行合同所必需的设备和专业技术能力的书面声明（格式自拟）</w:t>
      </w:r>
      <w:r/>
    </w:p>
    <w:p>
      <w:pPr>
        <w:jc w:val="center"/>
        <w:rPr>
          <w:rFonts w:hint="eastAsia" w:ascii="宋体" w:hAnsi="宋体" w:eastAsia="宋体" w:cs="宋体"/>
          <w:color w:val="auto"/>
          <w:sz w:val="28"/>
          <w:highlight w:val="none"/>
          <w:u w:val="single"/>
        </w:rPr>
      </w:pPr>
      <w:r>
        <w:rPr>
          <w:rFonts w:hint="eastAsia" w:ascii="宋体" w:hAnsi="宋体" w:eastAsia="宋体" w:cs="宋体"/>
          <w:color w:val="auto"/>
          <w:sz w:val="28"/>
          <w:highlight w:val="none"/>
          <w:u w:val="singl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b/>
          <w:color w:val="auto"/>
          <w:spacing w:val="20"/>
          <w:sz w:val="30"/>
          <w:szCs w:val="30"/>
          <w:highlight w:val="none"/>
        </w:rPr>
      </w:pPr>
      <w:r>
        <w:rPr>
          <w:rFonts w:hint="eastAsia" w:ascii="宋体" w:hAnsi="宋体" w:eastAsia="宋体" w:cs="宋体"/>
          <w:b/>
          <w:color w:val="auto"/>
          <w:spacing w:val="20"/>
          <w:sz w:val="30"/>
          <w:szCs w:val="30"/>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pacing w:val="20"/>
          <w:sz w:val="30"/>
          <w:szCs w:val="30"/>
          <w:highlight w:val="none"/>
        </w:rPr>
        <w:t xml:space="preserve">承诺书</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（招标人名称）：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我单位郑重承诺以下事项：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1.本公司（单位）对本项目（</w:t>
      </w:r>
      <w:r>
        <w:rPr>
          <w:rFonts w:hint="eastAsia" w:ascii="宋体" w:hAnsi="宋体" w:eastAsia="宋体" w:cs="宋体"/>
          <w:color w:val="auto"/>
          <w:sz w:val="24"/>
          <w:szCs w:val="24"/>
          <w:highlight w:val="none"/>
          <w:lang w:val="en-US" w:eastAsia="zh-CN"/>
        </w:rPr>
        <w:t xml:space="preserve">项目编号：              </w:t>
      </w:r>
      <w:r>
        <w:rPr>
          <w:rFonts w:hint="eastAsia" w:ascii="宋体" w:hAnsi="宋体" w:eastAsia="宋体" w:cs="宋体"/>
          <w:color w:val="auto"/>
          <w:sz w:val="24"/>
          <w:szCs w:val="24"/>
          <w:highlight w:val="none"/>
        </w:rPr>
        <w:t xml:space="preserve">）所提供的服务不低于采购文件要求的标准。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2.本公司（单位）具备履行合同所必需的专业技术能力。。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3.本公司未被“信用中国”网站（www.creditchina.gov.cn）列入失信被执行人、重大税收违法</w:t>
      </w:r>
      <w:r>
        <w:rPr>
          <w:rFonts w:hint="eastAsia" w:ascii="宋体" w:hAnsi="宋体" w:eastAsia="宋体" w:cs="宋体"/>
          <w:color w:val="auto"/>
          <w:sz w:val="24"/>
          <w:szCs w:val="24"/>
          <w:highlight w:val="none"/>
          <w:lang w:val="en-US" w:eastAsia="zh-CN"/>
        </w:rPr>
        <w:t xml:space="preserve">失信主体</w:t>
      </w:r>
      <w:r>
        <w:rPr>
          <w:rFonts w:hint="eastAsia" w:ascii="宋体" w:hAnsi="宋体" w:eastAsia="宋体" w:cs="宋体"/>
          <w:color w:val="auto"/>
          <w:sz w:val="24"/>
          <w:szCs w:val="24"/>
          <w:highlight w:val="none"/>
        </w:rPr>
        <w:t xml:space="preserve">、政府采购严重违法失信行为记录名单。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4.我单位承诺响应招标文件所有内容。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5.我单位承诺如果服务过程中未按上述要求履行，我单位承担违约责任，双倍赔偿招标人损失，招标人可直接解除合同，并没收履约保证金。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6.如违背上述承诺，本公司（单位）将承担一切法律责任。  </w:t>
      </w:r>
      <w:r/>
    </w:p>
    <w:p>
      <w:pPr>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         </w:t>
      </w:r>
      <w:r/>
    </w:p>
    <w:p>
      <w:pPr>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2"/>
        <w:jc w:val="right"/>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rFonts w:hint="eastAsia" w:ascii="宋体" w:hAnsi="宋体" w:eastAsia="宋体" w:cs="宋体"/>
          <w:bCs/>
          <w:color w:val="auto"/>
          <w:sz w:val="24"/>
          <w:highlight w:val="none"/>
        </w:rPr>
        <w:t xml:space="preserve">加盖CA电子公章</w:t>
      </w:r>
      <w:r>
        <w:rPr>
          <w:rFonts w:hint="eastAsia" w:ascii="宋体" w:hAnsi="宋体" w:eastAsia="宋体" w:cs="宋体"/>
          <w:color w:val="auto"/>
          <w:highlight w:val="none"/>
        </w:rPr>
        <w:t xml:space="preserve">）</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r>
      <w:r/>
    </w:p>
    <w:p>
      <w:pPr>
        <w:jc w:val="center"/>
        <w:spacing w:line="50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br w:type="page" w:clear="all"/>
      </w:r>
      <w:r/>
    </w:p>
    <w:p>
      <w:pPr>
        <w:jc w:val="center"/>
        <w:keepLines/>
        <w:keepNext/>
        <w:spacing w:before="120" w:after="120"/>
        <w:rPr>
          <w:rFonts w:hint="eastAsia" w:ascii="宋体" w:hAnsi="宋体" w:eastAsia="宋体" w:cs="宋体"/>
          <w:b/>
          <w:bCs/>
          <w:color w:val="auto"/>
          <w:sz w:val="30"/>
          <w:szCs w:val="30"/>
          <w:highlight w:val="none"/>
        </w:rPr>
        <w:outlineLvl w:val="0"/>
      </w:pPr>
      <w:r/>
      <w:bookmarkStart w:id="65" w:name="_Toc1623_WPSOffice_Level1"/>
      <w:r/>
      <w:bookmarkStart w:id="66" w:name="_Toc22143_WPSOffice_Level1"/>
      <w:r/>
      <w:bookmarkStart w:id="67" w:name="_Toc22881_WPSOffice_Level1"/>
      <w:r/>
      <w:bookmarkStart w:id="68" w:name="_Toc32173"/>
      <w:r>
        <w:rPr>
          <w:rFonts w:hint="eastAsia" w:ascii="宋体" w:hAnsi="宋体" w:eastAsia="宋体" w:cs="宋体"/>
          <w:b/>
          <w:bCs/>
          <w:color w:val="auto"/>
          <w:sz w:val="30"/>
          <w:szCs w:val="30"/>
          <w:highlight w:val="none"/>
        </w:rPr>
        <w:t xml:space="preserve">商务</w:t>
      </w:r>
      <w:r>
        <w:rPr>
          <w:rFonts w:hint="eastAsia" w:ascii="宋体" w:hAnsi="宋体" w:eastAsia="宋体" w:cs="宋体"/>
          <w:b/>
          <w:bCs/>
          <w:color w:val="auto"/>
          <w:sz w:val="30"/>
          <w:szCs w:val="30"/>
          <w:highlight w:val="none"/>
          <w:lang w:val="en-US" w:eastAsia="zh-CN"/>
        </w:rPr>
        <w:t xml:space="preserve">和技术</w:t>
      </w:r>
      <w:r>
        <w:rPr>
          <w:rFonts w:hint="eastAsia" w:ascii="宋体" w:hAnsi="宋体" w:eastAsia="宋体" w:cs="宋体"/>
          <w:b/>
          <w:bCs/>
          <w:color w:val="auto"/>
          <w:sz w:val="30"/>
          <w:szCs w:val="30"/>
          <w:highlight w:val="none"/>
        </w:rPr>
        <w:t xml:space="preserve">偏离表</w:t>
      </w:r>
      <w:bookmarkEnd w:id="65"/>
      <w:r/>
      <w:bookmarkEnd w:id="66"/>
      <w:r/>
      <w:bookmarkEnd w:id="67"/>
      <w:r/>
      <w:bookmarkEnd w:id="68"/>
      <w:r/>
      <w:r/>
    </w:p>
    <w:tbl>
      <w:tblPr>
        <w:tblStyle w:val="73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cantSplit/>
          <w:jc w:val="center"/>
          <w:trHeight w:val="567"/>
          <w:tblHeader/>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招标文件中的商务条款</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有无偏离</w:t>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偏离内容及原因</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服务地点</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支付方式</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投标货币</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其他技术文件</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3545" w:type="dxa"/>
            <w:vAlign w:val="center"/>
            <w:textDirection w:val="lrTb"/>
            <w:noWrap w:val="false"/>
          </w:tcPr>
          <w:p>
            <w:pPr>
              <w:jc w:val="center"/>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1322"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Borders>
              <w:top w:val="single" w:color="auto" w:sz="4" w:space="0"/>
              <w:left w:val="single" w:color="auto" w:sz="4" w:space="0"/>
              <w:bottom w:val="single" w:color="auto" w:sz="4" w:space="0"/>
              <w:right w:val="single" w:color="auto" w:sz="4" w:space="0"/>
            </w:tcBorders>
            <w:tcW w:w="1978" w:type="dxa"/>
            <w:vAlign w:val="center"/>
            <w:textDirection w:val="lrTb"/>
            <w:noWrap w:val="false"/>
          </w:tcPr>
          <w:p>
            <w:pPr>
              <w:jc w:val="cente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bl>
    <w:p>
      <w:pPr>
        <w:ind w:firstLine="482"/>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spacing w:line="5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p>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若无偏离，在“有无偏离”栏中填写“无”；若有偏离在“有无偏离”栏中填写“有”并在“偏离内容及原因”栏中作出说明。</w:t>
      </w:r>
      <w:r/>
    </w:p>
    <w:p>
      <w:pPr>
        <w:pStyle w:val="100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01"/>
        <w:spacing w:before="0" w:beforeAutospacing="0" w:after="0" w:afterAutospacing="0"/>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01"/>
        <w:ind w:firstLine="480"/>
        <w:spacing w:before="0" w:beforeAutospacing="0" w:after="0" w:afterAutospacing="0" w:line="48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投标人（</w:t>
      </w:r>
      <w:r>
        <w:rPr>
          <w:rFonts w:hint="eastAsia" w:ascii="宋体" w:hAnsi="宋体" w:eastAsia="宋体" w:cs="宋体"/>
          <w:bCs/>
          <w:color w:val="auto"/>
          <w:highlight w:val="none"/>
        </w:rPr>
        <w:t xml:space="preserve">加盖CA电子公章</w:t>
      </w:r>
      <w:r>
        <w:rPr>
          <w:rFonts w:hint="eastAsia" w:ascii="宋体" w:hAnsi="宋体" w:eastAsia="宋体" w:cs="宋体"/>
          <w:color w:val="auto"/>
          <w:szCs w:val="24"/>
          <w:highlight w:val="none"/>
        </w:rPr>
        <w:t xml:space="preserve">）：</w:t>
      </w:r>
      <w:r/>
    </w:p>
    <w:p>
      <w:pPr>
        <w:pStyle w:val="1001"/>
        <w:ind w:firstLine="480"/>
        <w:spacing w:before="0" w:beforeAutospacing="0" w:after="0" w:afterAutospacing="0" w:line="48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法定代表人或法定代表人授权代表（签字或盖章）：</w:t>
      </w:r>
      <w:r/>
    </w:p>
    <w:p>
      <w:pPr>
        <w:pStyle w:val="1001"/>
        <w:ind w:firstLine="480"/>
        <w:spacing w:before="0" w:beforeAutospacing="0" w:after="0" w:afterAutospacing="0" w:line="48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ind w:firstLine="490"/>
        <w:jc w:val="center"/>
        <w:rPr>
          <w:rFonts w:hint="eastAsia" w:ascii="宋体" w:hAnsi="宋体" w:eastAsia="宋体" w:cs="宋体"/>
          <w:b/>
          <w:color w:val="auto"/>
          <w:spacing w:val="20"/>
          <w:sz w:val="32"/>
          <w:szCs w:val="32"/>
          <w:highlight w:val="none"/>
        </w:rPr>
        <w:outlineLvl w:val="0"/>
      </w:pPr>
      <w:r>
        <w:rPr>
          <w:rFonts w:hint="eastAsia" w:ascii="宋体" w:hAnsi="宋体" w:eastAsia="宋体" w:cs="宋体"/>
          <w:b/>
          <w:color w:val="auto"/>
          <w:spacing w:val="20"/>
          <w:sz w:val="32"/>
          <w:szCs w:val="32"/>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中小企业声明函</w:t>
      </w:r>
      <w:r/>
    </w:p>
    <w:p>
      <w:pPr>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2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（项目名称和标段）</w:t>
      </w:r>
      <w:r>
        <w:rPr>
          <w:rFonts w:hint="eastAsia" w:ascii="宋体" w:hAnsi="宋体" w:eastAsia="宋体" w:cs="宋体"/>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48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u w:val="single"/>
        </w:rPr>
        <w:t xml:space="preserve">（标的名称）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；承建（承接）企业为 </w:t>
      </w:r>
      <w:r>
        <w:rPr>
          <w:rFonts w:hint="eastAsia" w:ascii="宋体" w:hAnsi="宋体" w:eastAsia="宋体" w:cs="宋体"/>
          <w:color w:val="auto"/>
          <w:sz w:val="24"/>
          <w:szCs w:val="24"/>
          <w:highlight w:val="none"/>
          <w:u w:val="single"/>
        </w:rPr>
        <w:t xml:space="preserve">（企业名称） </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3840"/>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jc w:val="cente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pStyle w:val="98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81"/>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（备注：1、参照《关于印发中小企业划型标准规定的通知》（工信部联企业【2011】300号）文件，</w:t>
      </w:r>
      <w:bookmarkStart w:id="69" w:name="OLE_LINK6"/>
      <w:r>
        <w:rPr>
          <w:rFonts w:hint="eastAsia" w:ascii="宋体" w:hAnsi="宋体" w:eastAsia="宋体" w:cs="宋体"/>
          <w:color w:val="auto"/>
          <w:sz w:val="24"/>
          <w:szCs w:val="24"/>
          <w:highlight w:val="none"/>
        </w:rPr>
        <w:t xml:space="preserve">本项目所属行业为</w:t>
      </w:r>
      <w:r>
        <w:rPr>
          <w:rFonts w:hint="eastAsia" w:ascii="宋体" w:hAnsi="宋体" w:eastAsia="宋体" w:cs="宋体"/>
          <w:b/>
          <w:bCs/>
          <w:color w:val="auto"/>
          <w:sz w:val="24"/>
          <w:szCs w:val="24"/>
          <w:highlight w:val="none"/>
          <w:u w:val="single"/>
        </w:rPr>
        <w:t xml:space="preserve">其他未列明行业</w:t>
      </w:r>
      <w:bookmarkEnd w:id="69"/>
      <w:r>
        <w:rPr>
          <w:rFonts w:hint="eastAsia" w:ascii="宋体" w:hAnsi="宋体" w:eastAsia="宋体" w:cs="宋体"/>
          <w:color w:val="auto"/>
          <w:sz w:val="24"/>
          <w:szCs w:val="24"/>
          <w:highlight w:val="none"/>
        </w:rPr>
        <w:t xml:space="preserve">。2、请如实填写属于中型企业或小型企业或微型企业。3、</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从业人员、营业收入、资产总额填报上一年度数据，无上一年度数据的新成立企业可不填报。）</w:t>
      </w:r>
      <w:r>
        <w:rPr>
          <w:rFonts w:hint="eastAsia" w:ascii="宋体" w:hAnsi="宋体" w:eastAsia="宋体" w:cs="宋体"/>
          <w:color w:val="auto"/>
          <w:highlight w:val="none"/>
        </w:rPr>
        <w:br w:type="page" w:clear="all"/>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残疾人福利性单位声明函</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（备注：中标供应商为残疾人福利单位的，此声明函将随中标结果同时公告，接受社会监督）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left="3380" w:firstLine="936"/>
        <w:jc w:val="lef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szCs w:val="24"/>
          <w:highlight w:val="none"/>
        </w:rPr>
        <w:t xml:space="preserve">企业名称（加盖CA电子公章）：</w:t>
      </w:r>
      <w:r/>
    </w:p>
    <w:p>
      <w:pPr>
        <w:ind w:right="1560" w:firstLine="480"/>
        <w:jc w:val="center"/>
        <w:spacing w:line="588" w:lineRule="exact"/>
        <w:tabs>
          <w:tab w:val="left" w:pos="48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ind w:firstLine="480"/>
        <w:spacing w:line="50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属于监狱企业的证明文件</w:t>
      </w:r>
      <w:r/>
    </w:p>
    <w:p>
      <w:pPr>
        <w:jc w:val="center"/>
        <w:spacing w:line="50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（提供由省级以上监狱管理局、戒毒管理局(含新疆生产建设兵团)出具的属于监狱企业的证明文件）</w:t>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6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联合体协议书（如有）</w:t>
      </w:r>
      <w:r/>
    </w:p>
    <w:p>
      <w:pPr>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牵头人名称：</w:t>
      </w:r>
      <w:r>
        <w:rPr>
          <w:rFonts w:hint="eastAsia" w:ascii="宋体" w:hAnsi="宋体" w:eastAsia="宋体" w:cs="宋体"/>
          <w:color w:val="auto"/>
          <w:sz w:val="22"/>
          <w:szCs w:val="18"/>
          <w:highlight w:val="none"/>
          <w:u w:val="single"/>
        </w:rPr>
        <w:t xml:space="preserve">                                                 </w:t>
      </w:r>
      <w:r/>
    </w:p>
    <w:p>
      <w:pPr>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法定代表人：</w:t>
      </w:r>
      <w:r>
        <w:rPr>
          <w:rFonts w:hint="eastAsia" w:ascii="宋体" w:hAnsi="宋体" w:eastAsia="宋体" w:cs="宋体"/>
          <w:color w:val="auto"/>
          <w:sz w:val="22"/>
          <w:szCs w:val="18"/>
          <w:highlight w:val="none"/>
          <w:u w:val="single"/>
        </w:rPr>
        <w:t xml:space="preserve">                                                 </w:t>
      </w:r>
      <w:r/>
    </w:p>
    <w:p>
      <w:pPr>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法定住所：</w:t>
      </w:r>
      <w:r>
        <w:rPr>
          <w:rFonts w:hint="eastAsia" w:ascii="宋体" w:hAnsi="宋体" w:eastAsia="宋体" w:cs="宋体"/>
          <w:color w:val="auto"/>
          <w:sz w:val="22"/>
          <w:szCs w:val="18"/>
          <w:highlight w:val="none"/>
          <w:u w:val="single"/>
        </w:rPr>
        <w:t xml:space="preserve">                                                   </w:t>
      </w:r>
      <w:r/>
    </w:p>
    <w:p>
      <w:pPr>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成员二名称：</w:t>
      </w:r>
      <w:r>
        <w:rPr>
          <w:rFonts w:hint="eastAsia" w:ascii="宋体" w:hAnsi="宋体" w:eastAsia="宋体" w:cs="宋体"/>
          <w:color w:val="auto"/>
          <w:sz w:val="22"/>
          <w:szCs w:val="18"/>
          <w:highlight w:val="none"/>
          <w:u w:val="single"/>
        </w:rPr>
        <w:t xml:space="preserve">                                                 </w:t>
      </w:r>
      <w:r/>
    </w:p>
    <w:p>
      <w:pPr>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法定代表人：</w:t>
      </w:r>
      <w:r>
        <w:rPr>
          <w:rFonts w:hint="eastAsia" w:ascii="宋体" w:hAnsi="宋体" w:eastAsia="宋体" w:cs="宋体"/>
          <w:color w:val="auto"/>
          <w:sz w:val="22"/>
          <w:szCs w:val="18"/>
          <w:highlight w:val="none"/>
          <w:u w:val="single"/>
        </w:rPr>
        <w:t xml:space="preserve">                                                 </w:t>
      </w:r>
      <w:r/>
    </w:p>
    <w:p>
      <w:pPr>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法定住所：</w:t>
      </w:r>
      <w:r>
        <w:rPr>
          <w:rFonts w:hint="eastAsia" w:ascii="宋体" w:hAnsi="宋体" w:eastAsia="宋体" w:cs="宋体"/>
          <w:color w:val="auto"/>
          <w:sz w:val="22"/>
          <w:szCs w:val="18"/>
          <w:highlight w:val="none"/>
          <w:u w:val="single"/>
        </w:rPr>
        <w:t xml:space="preserve">                                                   </w:t>
      </w:r>
      <w:r/>
    </w:p>
    <w:p>
      <w:pPr>
        <w:ind w:firstLine="440"/>
        <w:jc w:val="left"/>
        <w:keepLines w:val="0"/>
        <w:keepNext w:val="0"/>
        <w:pageBreakBefore w:val="0"/>
        <w:spacing w:line="320" w:lineRule="exact"/>
        <w:widowControl w:val="off"/>
        <w:rPr>
          <w:rFonts w:hint="eastAsia" w:ascii="宋体" w:hAnsi="宋体" w:eastAsia="宋体" w:cs="宋体"/>
          <w:color w:val="auto"/>
          <w:sz w:val="22"/>
          <w:szCs w:val="18"/>
          <w:highlight w:val="none"/>
          <w:u w:val="single"/>
        </w:rPr>
      </w:pPr>
      <w:r>
        <w:rPr>
          <w:rFonts w:hint="eastAsia" w:ascii="宋体" w:hAnsi="宋体" w:eastAsia="宋体" w:cs="宋体"/>
          <w:color w:val="auto"/>
          <w:sz w:val="22"/>
          <w:szCs w:val="18"/>
          <w:highlight w:val="none"/>
        </w:rPr>
        <w:t xml:space="preserve">……</w:t>
      </w:r>
      <w:r/>
    </w:p>
    <w:p>
      <w:pPr>
        <w:ind w:firstLine="440"/>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鉴于上述各成员单位经过友好协商，自愿组成</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 xml:space="preserve">(联合体名称)联合体，共同参加</w:t>
      </w:r>
      <w:r/>
    </w:p>
    <w:p>
      <w:pPr>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 xml:space="preserve">(采购人名称)(以下简称采购人)</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 xml:space="preserve">(项目名称)(以下简称本</w:t>
      </w:r>
      <w:r>
        <w:rPr>
          <w:rFonts w:hint="eastAsia" w:ascii="宋体" w:hAnsi="宋体" w:eastAsia="宋体" w:cs="宋体"/>
          <w:color w:val="auto"/>
          <w:sz w:val="22"/>
          <w:szCs w:val="18"/>
          <w:highlight w:val="none"/>
          <w:lang w:val="en-US" w:eastAsia="zh-CN"/>
        </w:rPr>
        <w:t xml:space="preserve">项目</w:t>
      </w:r>
      <w:r>
        <w:rPr>
          <w:rFonts w:hint="eastAsia" w:ascii="宋体" w:hAnsi="宋体" w:eastAsia="宋体" w:cs="宋体"/>
          <w:color w:val="auto"/>
          <w:sz w:val="22"/>
          <w:szCs w:val="18"/>
          <w:highlight w:val="none"/>
        </w:rPr>
        <w:t xml:space="preserve">)的投标并争取赢得本</w:t>
      </w:r>
      <w:r>
        <w:rPr>
          <w:rFonts w:hint="eastAsia" w:ascii="宋体" w:hAnsi="宋体" w:eastAsia="宋体" w:cs="宋体"/>
          <w:color w:val="auto"/>
          <w:sz w:val="22"/>
          <w:szCs w:val="18"/>
          <w:highlight w:val="none"/>
          <w:lang w:val="en-US" w:eastAsia="zh-CN"/>
        </w:rPr>
        <w:t xml:space="preserve">项目</w:t>
      </w:r>
      <w:r>
        <w:rPr>
          <w:rFonts w:hint="eastAsia" w:ascii="宋体" w:hAnsi="宋体" w:eastAsia="宋体" w:cs="宋体"/>
          <w:color w:val="auto"/>
          <w:sz w:val="22"/>
          <w:szCs w:val="18"/>
          <w:highlight w:val="none"/>
        </w:rPr>
        <w:t xml:space="preserve">承包合同(以下简称合同)。现就联合体投标事宜订立如下协议：</w:t>
      </w:r>
      <w:r/>
    </w:p>
    <w:p>
      <w:pPr>
        <w:ind w:firstLine="440"/>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1. </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 xml:space="preserve">(某成员单位名称)为</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 xml:space="preserve">(联合体名称)牵头人。</w:t>
      </w:r>
      <w:r/>
    </w:p>
    <w:p>
      <w:pPr>
        <w:ind w:firstLine="440"/>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2. 在本</w:t>
      </w:r>
      <w:r>
        <w:rPr>
          <w:rFonts w:hint="eastAsia" w:ascii="宋体" w:hAnsi="宋体" w:eastAsia="宋体" w:cs="宋体"/>
          <w:color w:val="auto"/>
          <w:sz w:val="22"/>
          <w:szCs w:val="18"/>
          <w:highlight w:val="none"/>
          <w:lang w:val="en-US" w:eastAsia="zh-CN"/>
        </w:rPr>
        <w:t xml:space="preserve">项目</w:t>
      </w:r>
      <w:r>
        <w:rPr>
          <w:rFonts w:hint="eastAsia" w:ascii="宋体" w:hAnsi="宋体" w:eastAsia="宋体" w:cs="宋体"/>
          <w:color w:val="auto"/>
          <w:sz w:val="22"/>
          <w:szCs w:val="18"/>
          <w:highlight w:val="none"/>
        </w:rPr>
        <w:t xml:space="preserve">投标阶段，联合体牵头人合法代表联合体各成员负责本</w:t>
      </w:r>
      <w:r>
        <w:rPr>
          <w:rFonts w:hint="eastAsia" w:ascii="宋体" w:hAnsi="宋体" w:eastAsia="宋体" w:cs="宋体"/>
          <w:color w:val="auto"/>
          <w:sz w:val="22"/>
          <w:szCs w:val="18"/>
          <w:highlight w:val="none"/>
          <w:lang w:val="en-US" w:eastAsia="zh-CN"/>
        </w:rPr>
        <w:t xml:space="preserve">项目</w:t>
      </w:r>
      <w:r>
        <w:rPr>
          <w:rFonts w:hint="eastAsia" w:ascii="宋体" w:hAnsi="宋体" w:eastAsia="宋体" w:cs="宋体"/>
          <w:color w:val="auto"/>
          <w:sz w:val="22"/>
          <w:szCs w:val="18"/>
          <w:highlight w:val="none"/>
        </w:rPr>
        <w:t xml:space="preserve">投标文件编制活动，代表联合体提交和接收相关的资料、信息及指示，并处理与投标和中标有关的一切事务；联合体中标后，联合体牵头人负责合同订立和合同实施阶段的主办、组织和协调工作。</w:t>
      </w:r>
      <w:r/>
    </w:p>
    <w:p>
      <w:pPr>
        <w:ind w:firstLine="440"/>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3. 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r/>
    </w:p>
    <w:p>
      <w:pPr>
        <w:ind w:firstLine="440"/>
        <w:jc w:val="left"/>
        <w:keepLines w:val="0"/>
        <w:keepNext w:val="0"/>
        <w:pageBreakBefore w:val="0"/>
        <w:spacing w:line="320" w:lineRule="exact"/>
        <w:widowControl w:val="off"/>
        <w:rPr>
          <w:rFonts w:hint="eastAsia" w:ascii="宋体" w:hAnsi="宋体" w:eastAsia="宋体" w:cs="宋体"/>
          <w:color w:val="auto"/>
          <w:sz w:val="22"/>
          <w:szCs w:val="18"/>
          <w:highlight w:val="none"/>
          <w:u w:val="single"/>
        </w:rPr>
      </w:pPr>
      <w:r>
        <w:rPr>
          <w:rFonts w:hint="eastAsia" w:ascii="宋体" w:hAnsi="宋体" w:eastAsia="宋体" w:cs="宋体"/>
          <w:color w:val="auto"/>
          <w:sz w:val="22"/>
          <w:szCs w:val="18"/>
          <w:highlight w:val="none"/>
        </w:rPr>
        <w:t xml:space="preserve">4. 联合体各成员单位内部的职责分工如下：</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 xml:space="preserve">。</w:t>
      </w:r>
      <w:r/>
    </w:p>
    <w:p>
      <w:pPr>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按照本条上述分工，联合体成员单位各自所承担的合同工作量比例如下：</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 xml:space="preserve">。</w:t>
      </w:r>
      <w:r/>
    </w:p>
    <w:p>
      <w:pPr>
        <w:ind w:firstLine="440"/>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5 投标工作和联合体在中标后</w:t>
      </w:r>
      <w:r>
        <w:rPr>
          <w:rFonts w:hint="eastAsia" w:ascii="宋体" w:hAnsi="宋体" w:eastAsia="宋体" w:cs="宋体"/>
          <w:color w:val="auto"/>
          <w:sz w:val="22"/>
          <w:szCs w:val="18"/>
          <w:highlight w:val="none"/>
          <w:lang w:val="en-US" w:eastAsia="zh-CN"/>
        </w:rPr>
        <w:t xml:space="preserve">项目</w:t>
      </w:r>
      <w:r>
        <w:rPr>
          <w:rFonts w:hint="eastAsia" w:ascii="宋体" w:hAnsi="宋体" w:eastAsia="宋体" w:cs="宋体"/>
          <w:color w:val="auto"/>
          <w:sz w:val="22"/>
          <w:szCs w:val="18"/>
          <w:highlight w:val="none"/>
        </w:rPr>
        <w:t xml:space="preserve">实施过程中的有关费用按各自承担的工作量分摊。</w:t>
      </w:r>
      <w:r/>
    </w:p>
    <w:p>
      <w:pPr>
        <w:ind w:firstLine="440"/>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6. 联合体中标后，本联合体协议是合同的附件，对联合体各成员单位有合同约束力。</w:t>
      </w:r>
      <w:r/>
    </w:p>
    <w:p>
      <w:pPr>
        <w:ind w:firstLine="440"/>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7 本协议书自签署之日起生效，联合体未中标或者中标时合同履行完毕后自动失效。</w:t>
      </w:r>
      <w:r/>
    </w:p>
    <w:p>
      <w:pPr>
        <w:ind w:firstLine="440"/>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8. 本协议书一式</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 xml:space="preserve">份，联合体成员和采购人各执一份。</w:t>
      </w:r>
      <w:r/>
    </w:p>
    <w:p>
      <w:pPr>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r>
      <w:r/>
    </w:p>
    <w:p>
      <w:pPr>
        <w:ind w:firstLine="2090"/>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牵头人名称：</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 xml:space="preserve">(盖单位章)</w:t>
      </w:r>
      <w:r/>
    </w:p>
    <w:p>
      <w:pPr>
        <w:ind w:firstLine="2090"/>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法定代表人或其委托代理人：</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 xml:space="preserve">(签字)</w:t>
      </w:r>
      <w:r/>
    </w:p>
    <w:p>
      <w:pPr>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r>
      <w:r/>
    </w:p>
    <w:p>
      <w:pPr>
        <w:ind w:firstLine="2090"/>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成员二名称：</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 xml:space="preserve">(盖单位章)</w:t>
      </w:r>
      <w:r/>
    </w:p>
    <w:p>
      <w:pPr>
        <w:ind w:firstLine="2090"/>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法定代表人或其委托代理人：</w:t>
      </w:r>
      <w:r>
        <w:rPr>
          <w:rFonts w:hint="eastAsia" w:ascii="宋体" w:hAnsi="宋体" w:eastAsia="宋体" w:cs="宋体"/>
          <w:color w:val="auto"/>
          <w:sz w:val="22"/>
          <w:szCs w:val="18"/>
          <w:highlight w:val="none"/>
          <w:u w:val="single"/>
        </w:rPr>
        <w:t xml:space="preserve">                       </w:t>
      </w:r>
      <w:r>
        <w:rPr>
          <w:rFonts w:hint="eastAsia" w:ascii="宋体" w:hAnsi="宋体" w:eastAsia="宋体" w:cs="宋体"/>
          <w:color w:val="auto"/>
          <w:sz w:val="22"/>
          <w:szCs w:val="18"/>
          <w:highlight w:val="none"/>
        </w:rPr>
        <w:t xml:space="preserve">(签字)</w:t>
      </w:r>
      <w:r/>
    </w:p>
    <w:p>
      <w:pPr>
        <w:ind w:firstLine="2420"/>
        <w:jc w:val="left"/>
        <w:keepLines w:val="0"/>
        <w:keepNext w:val="0"/>
        <w:pageBreakBefore w:val="0"/>
        <w:spacing w:line="320" w:lineRule="exact"/>
        <w:widowControl w:val="off"/>
        <w:rPr>
          <w:rFonts w:hint="eastAsia" w:ascii="宋体" w:hAnsi="宋体" w:eastAsia="宋体" w:cs="宋体"/>
          <w:color w:val="auto"/>
          <w:sz w:val="22"/>
          <w:szCs w:val="18"/>
          <w:highlight w:val="none"/>
        </w:rPr>
      </w:pPr>
      <w:r>
        <w:rPr>
          <w:rFonts w:hint="eastAsia" w:ascii="宋体" w:hAnsi="宋体" w:eastAsia="宋体" w:cs="宋体"/>
          <w:color w:val="auto"/>
          <w:sz w:val="22"/>
          <w:szCs w:val="18"/>
          <w:highlight w:val="none"/>
        </w:rPr>
        <w:t xml:space="preserve">…… </w:t>
      </w:r>
      <w:r/>
    </w:p>
    <w:p>
      <w:pPr>
        <w:pStyle w:val="737"/>
        <w:ind w:firstLine="3166"/>
        <w:jc w:val="left"/>
        <w:keepLines w:val="0"/>
        <w:keepNext w:val="0"/>
        <w:pageBreakBefore w:val="0"/>
        <w:spacing w:line="320" w:lineRule="exact"/>
        <w:widowControl w:val="off"/>
        <w:rPr>
          <w:rFonts w:hint="eastAsia" w:ascii="宋体" w:hAnsi="宋体" w:eastAsia="宋体" w:cs="宋体"/>
          <w:color w:val="auto"/>
          <w:sz w:val="18"/>
          <w:szCs w:val="16"/>
          <w:highlight w:val="none"/>
        </w:rPr>
      </w:pPr>
      <w:r>
        <w:rPr>
          <w:rFonts w:hint="eastAsia" w:ascii="宋体" w:hAnsi="宋体" w:eastAsia="宋体" w:cs="宋体"/>
          <w:color w:val="auto"/>
          <w:sz w:val="18"/>
          <w:szCs w:val="16"/>
          <w:highlight w:val="none"/>
          <w:u w:val="single"/>
        </w:rPr>
        <w:t xml:space="preserve">        </w:t>
      </w:r>
      <w:r>
        <w:rPr>
          <w:rFonts w:hint="eastAsia" w:ascii="宋体" w:hAnsi="宋体" w:eastAsia="宋体" w:cs="宋体"/>
          <w:color w:val="auto"/>
          <w:sz w:val="18"/>
          <w:szCs w:val="16"/>
          <w:highlight w:val="none"/>
        </w:rPr>
        <w:t xml:space="preserve">年</w:t>
      </w:r>
      <w:r>
        <w:rPr>
          <w:rFonts w:hint="eastAsia" w:ascii="宋体" w:hAnsi="宋体" w:eastAsia="宋体" w:cs="宋体"/>
          <w:color w:val="auto"/>
          <w:sz w:val="18"/>
          <w:szCs w:val="16"/>
          <w:highlight w:val="none"/>
          <w:u w:val="single"/>
        </w:rPr>
        <w:t xml:space="preserve">       </w:t>
      </w:r>
      <w:r>
        <w:rPr>
          <w:rFonts w:hint="eastAsia" w:ascii="宋体" w:hAnsi="宋体" w:eastAsia="宋体" w:cs="宋体"/>
          <w:color w:val="auto"/>
          <w:sz w:val="18"/>
          <w:szCs w:val="16"/>
          <w:highlight w:val="none"/>
        </w:rPr>
        <w:t xml:space="preserve">月</w:t>
      </w:r>
      <w:r>
        <w:rPr>
          <w:rFonts w:hint="eastAsia" w:ascii="宋体" w:hAnsi="宋体" w:eastAsia="宋体" w:cs="宋体"/>
          <w:color w:val="auto"/>
          <w:sz w:val="18"/>
          <w:szCs w:val="16"/>
          <w:highlight w:val="none"/>
          <w:u w:val="single"/>
        </w:rPr>
        <w:t xml:space="preserve">       </w:t>
      </w:r>
      <w:r>
        <w:rPr>
          <w:rFonts w:hint="eastAsia" w:ascii="宋体" w:hAnsi="宋体" w:eastAsia="宋体" w:cs="宋体"/>
          <w:color w:val="auto"/>
          <w:sz w:val="18"/>
          <w:szCs w:val="16"/>
          <w:highlight w:val="none"/>
        </w:rPr>
        <w:t xml:space="preserve">日</w:t>
      </w:r>
      <w:r/>
    </w:p>
    <w:p>
      <w:pPr>
        <w:pStyle w:val="737"/>
        <w:jc w:val="right"/>
        <w:spacing w:line="400" w:lineRule="exact"/>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r>
      <w:r/>
    </w:p>
    <w:p>
      <w:pPr>
        <w:pStyle w:val="737"/>
        <w:jc w:val="right"/>
        <w:spacing w:line="400" w:lineRule="exact"/>
        <w:rPr>
          <w:rFonts w:hint="eastAsia" w:ascii="宋体" w:hAnsi="宋体" w:eastAsia="宋体" w:cs="宋体"/>
          <w:color w:val="auto"/>
          <w:sz w:val="21"/>
          <w:szCs w:val="20"/>
          <w:highlight w:val="none"/>
        </w:rPr>
      </w:pPr>
      <w:r>
        <w:rPr>
          <w:rFonts w:hint="eastAsia" w:ascii="宋体" w:hAnsi="宋体" w:eastAsia="宋体" w:cs="宋体"/>
          <w:color w:val="auto"/>
          <w:sz w:val="21"/>
          <w:szCs w:val="20"/>
          <w:highlight w:val="none"/>
        </w:rPr>
      </w:r>
      <w:r/>
    </w:p>
    <w:p>
      <w:pPr>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其它（供应商认为有必要提供的声明和文件，如有自拟并自行添加）</w:t>
      </w:r>
      <w:r/>
    </w:p>
    <w:p>
      <w:pPr>
        <w:rPr>
          <w:rFonts w:hint="eastAsia"/>
        </w:rPr>
      </w:pPr>
      <w:r>
        <w:rPr>
          <w:rFonts w:hint="eastAsia"/>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5"/>
        <w:rPr>
          <w:rFonts w:hint="eastAsia"/>
        </w:rPr>
      </w:pPr>
      <w:r>
        <w:rPr>
          <w:rFonts w:hint="eastAsia"/>
        </w:rPr>
      </w:r>
      <w:r/>
    </w:p>
    <w:p>
      <w:pPr>
        <w:pStyle w:val="761"/>
        <w:jc w:val="center"/>
        <w:widowControl/>
        <w:rPr>
          <w:rFonts w:hint="eastAsia" w:ascii="宋体" w:hAnsi="宋体" w:eastAsia="宋体" w:cs="宋体"/>
          <w:b/>
          <w:bCs/>
          <w:color w:val="auto"/>
          <w:sz w:val="27"/>
          <w:szCs w:val="27"/>
          <w:highlight w:val="none"/>
        </w:rPr>
      </w:pPr>
      <w:r>
        <w:rPr>
          <w:rFonts w:hint="eastAsia" w:ascii="宋体" w:hAnsi="宋体" w:eastAsia="宋体" w:cs="宋体"/>
          <w:b/>
          <w:bCs/>
          <w:color w:val="auto"/>
          <w:sz w:val="27"/>
          <w:szCs w:val="27"/>
          <w:highlight w:val="none"/>
        </w:rPr>
        <w:t xml:space="preserve">质疑函范本</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一、质疑供应商基本信息</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质疑供应商：</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联系人：联系电话：</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授权代表：</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地址：邮编：</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二、质疑项目基本情况</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质疑项目的名称：</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质疑项目的编号：包号：</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采购人名称：</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采购文件获取日期：</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三、质疑事项具体内容</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质疑事项1：</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事实依据：</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法律依据：</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质疑事项2</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四、与质疑事项相关的质疑请求</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请求：</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签字(签字或盖章)：    公章：</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日期：</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质疑函制作说明：</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1.供应商质疑时，应提交质疑函和必要的证明材料。</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3.质疑供应商若对项目的某一分包进行质疑，质疑函中应列明具体分包号。</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4.质疑函的质疑事项应具体、明确，并有必要的事实依据和法律依据。</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5.质疑函的质疑请求应与质疑事项相关。</w:t>
      </w:r>
      <w:r/>
    </w:p>
    <w:p>
      <w:pPr>
        <w:pStyle w:val="761"/>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headerReference w:type="default" r:id="rId9"/>
      <w:footerReference w:type="default" r:id="rId10"/>
      <w:footerReference w:type="first" r:id="rId11"/>
      <w:footnotePr/>
      <w:endnotePr/>
      <w:type w:val="nextPage"/>
      <w:pgSz w:w="11906" w:h="16838" w:orient="portrait"/>
      <w:pgMar w:top="1440" w:right="1803" w:bottom="1440" w:left="1803" w:header="680" w:footer="73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entaur">
    <w:panose1 w:val="02030504050205020304"/>
  </w:font>
  <w:font w:name="Myriad Roman">
    <w:panose1 w:val="020B0503020202020204"/>
  </w:font>
  <w:font w:name="TimesNewRomanPSMT">
    <w:panose1 w:val="02020603050405020304"/>
  </w:font>
  <w:font w:name="Tahoma">
    <w:panose1 w:val="020B0604030504040204"/>
  </w:font>
  <w:font w:name="仿宋">
    <w:panose1 w:val="02010609060101010101"/>
  </w:font>
  <w:font w:name="Cambria">
    <w:panose1 w:val="02040503050406030204"/>
  </w:font>
  <w:font w:name="Calibri">
    <w:panose1 w:val="020F0502020204030204"/>
  </w:font>
  <w:font w:name="微软雅黑">
    <w:panose1 w:val="020B0503020204020204"/>
  </w:font>
  <w:font w:name="Courier New">
    <w:panose1 w:val="02070309020205020404"/>
  </w:font>
  <w:font w:name="黑体">
    <w:panose1 w:val="02010609060101010101"/>
  </w:font>
  <w:font w:name="Verdana">
    <w:panose1 w:val="020B0604030504040204"/>
  </w:font>
  <w:font w:name="仿宋_GB2312">
    <w:panose1 w:val="02010609060101010101"/>
  </w:font>
  <w:font w:name="Arial">
    <w:panose1 w:val="020B0604020202020204"/>
  </w:font>
  <w:font w:name="楷体_GB2312">
    <w:panose1 w:val="02010609060101010101"/>
  </w:font>
  <w:font w:name="Calisto MT">
    <w:panose1 w:val="0204060305050503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Times New Roman" w:hAnsi="Times New Roman" w:eastAsia="楷体_GB2312" w:cs="Times New Roman"/>
      <w:sz w:val="26"/>
    </w:rPr>
  </w:style>
  <w:style w:type="paragraph" w:styleId="725">
    <w:name w:val="Heading 1"/>
    <w:basedOn w:val="724"/>
    <w:next w:val="724"/>
    <w:link w:val="962"/>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828"/>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829"/>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830"/>
    <w:uiPriority w:val="9"/>
    <w:unhideWhenUsed/>
    <w:qFormat/>
    <w:pPr>
      <w:keepLines/>
      <w:keepNext/>
      <w:spacing w:before="320" w:after="200"/>
      <w:outlineLvl w:val="3"/>
    </w:pPr>
    <w:rPr>
      <w:rFonts w:ascii="Arial" w:hAnsi="Arial" w:eastAsia="Arial" w:cs="Arial"/>
      <w:b/>
      <w:bCs/>
      <w:szCs w:val="26"/>
    </w:rPr>
  </w:style>
  <w:style w:type="paragraph" w:styleId="729">
    <w:name w:val="Heading 5"/>
    <w:basedOn w:val="724"/>
    <w:next w:val="724"/>
    <w:link w:val="831"/>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832"/>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3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34"/>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35"/>
    <w:uiPriority w:val="9"/>
    <w:unhideWhenUsed/>
    <w:qFormat/>
    <w:pPr>
      <w:keepLines/>
      <w:keepNext/>
      <w:spacing w:before="320" w:after="200"/>
      <w:outlineLvl w:val="8"/>
    </w:pPr>
    <w:rPr>
      <w:rFonts w:ascii="Arial" w:hAnsi="Arial" w:eastAsia="Arial" w:cs="Arial"/>
      <w:i/>
      <w:iCs/>
      <w:sz w:val="21"/>
      <w:szCs w:val="21"/>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Normal Indent"/>
    <w:basedOn w:val="724"/>
    <w:link w:val="1111"/>
    <w:uiPriority w:val="0"/>
    <w:unhideWhenUsed/>
    <w:qFormat/>
    <w:pPr>
      <w:ind w:firstLine="420"/>
      <w:jc w:val="left"/>
    </w:pPr>
    <w:rPr>
      <w:sz w:val="24"/>
    </w:rPr>
  </w:style>
  <w:style w:type="paragraph" w:styleId="738">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9">
    <w:name w:val="Document Map"/>
    <w:basedOn w:val="724"/>
    <w:uiPriority w:val="0"/>
    <w:unhideWhenUsed/>
    <w:qFormat/>
    <w:pPr>
      <w:shd w:val="clear" w:color="auto" w:fill="000080"/>
    </w:pPr>
    <w:rPr>
      <w:rFonts w:eastAsia="宋体"/>
      <w:sz w:val="21"/>
      <w:szCs w:val="24"/>
    </w:rPr>
  </w:style>
  <w:style w:type="paragraph" w:styleId="740">
    <w:name w:val="annotation text"/>
    <w:basedOn w:val="724"/>
    <w:uiPriority w:val="99"/>
    <w:semiHidden/>
    <w:unhideWhenUsed/>
    <w:qFormat/>
    <w:pPr>
      <w:jc w:val="left"/>
    </w:pPr>
  </w:style>
  <w:style w:type="paragraph" w:styleId="741">
    <w:name w:val="Body Text"/>
    <w:basedOn w:val="724"/>
    <w:next w:val="742"/>
    <w:uiPriority w:val="0"/>
    <w:qFormat/>
    <w:rPr>
      <w:rFonts w:ascii="楷体_GB2312" w:hAnsi="Arial"/>
      <w:sz w:val="28"/>
    </w:rPr>
  </w:style>
  <w:style w:type="paragraph" w:styleId="742">
    <w:name w:val="Body Text First Indent"/>
    <w:basedOn w:val="741"/>
    <w:next w:val="743"/>
    <w:uiPriority w:val="0"/>
    <w:qFormat/>
    <w:pPr>
      <w:ind w:firstLine="420"/>
    </w:pPr>
    <w:rPr>
      <w:rFonts w:ascii="Verdana" w:hAnsi="Verdana"/>
      <w:szCs w:val="28"/>
      <w:lang w:eastAsia="en-US"/>
    </w:rPr>
  </w:style>
  <w:style w:type="paragraph" w:styleId="743">
    <w:name w:val="toc 6"/>
    <w:basedOn w:val="724"/>
    <w:next w:val="724"/>
    <w:uiPriority w:val="39"/>
    <w:unhideWhenUsed/>
    <w:qFormat/>
    <w:pPr>
      <w:ind w:left="1417"/>
      <w:spacing w:after="57"/>
    </w:pPr>
  </w:style>
  <w:style w:type="paragraph" w:styleId="744">
    <w:name w:val="Body Text Indent"/>
    <w:basedOn w:val="724"/>
    <w:uiPriority w:val="0"/>
    <w:qFormat/>
    <w:pPr>
      <w:ind w:firstLine="645"/>
    </w:pPr>
    <w:rPr>
      <w:rFonts w:ascii="楷体_GB2312" w:hAnsiTheme="minorHAnsi" w:cstheme="minorBidi"/>
      <w:sz w:val="32"/>
      <w:szCs w:val="22"/>
    </w:rPr>
  </w:style>
  <w:style w:type="paragraph" w:styleId="745">
    <w:name w:val="toc 5"/>
    <w:basedOn w:val="724"/>
    <w:next w:val="724"/>
    <w:uiPriority w:val="39"/>
    <w:unhideWhenUsed/>
    <w:qFormat/>
    <w:pPr>
      <w:ind w:left="1134"/>
      <w:spacing w:after="57"/>
    </w:pPr>
  </w:style>
  <w:style w:type="paragraph" w:styleId="746">
    <w:name w:val="toc 3"/>
    <w:basedOn w:val="724"/>
    <w:next w:val="724"/>
    <w:uiPriority w:val="39"/>
    <w:unhideWhenUsed/>
    <w:qFormat/>
    <w:pPr>
      <w:ind w:left="567"/>
      <w:spacing w:after="57"/>
    </w:pPr>
  </w:style>
  <w:style w:type="paragraph" w:styleId="747">
    <w:name w:val="Plain Text"/>
    <w:basedOn w:val="724"/>
    <w:link w:val="1105"/>
    <w:uiPriority w:val="0"/>
    <w:unhideWhenUsed/>
    <w:qFormat/>
    <w:rPr>
      <w:rFonts w:ascii="宋体" w:hAnsi="Courier New"/>
    </w:rPr>
  </w:style>
  <w:style w:type="paragraph" w:styleId="748">
    <w:name w:val="toc 8"/>
    <w:basedOn w:val="724"/>
    <w:next w:val="724"/>
    <w:uiPriority w:val="39"/>
    <w:unhideWhenUsed/>
    <w:qFormat/>
    <w:pPr>
      <w:ind w:left="1984"/>
      <w:spacing w:after="57"/>
    </w:pPr>
  </w:style>
  <w:style w:type="paragraph" w:styleId="749">
    <w:name w:val="endnote text"/>
    <w:basedOn w:val="724"/>
    <w:link w:val="952"/>
    <w:uiPriority w:val="99"/>
    <w:semiHidden/>
    <w:unhideWhenUsed/>
    <w:qFormat/>
    <w:rPr>
      <w:sz w:val="20"/>
    </w:rPr>
  </w:style>
  <w:style w:type="paragraph" w:styleId="750">
    <w:name w:val="Footer"/>
    <w:basedOn w:val="724"/>
    <w:link w:val="844"/>
    <w:uiPriority w:val="99"/>
    <w:unhideWhenUsed/>
    <w:qFormat/>
    <w:pPr>
      <w:tabs>
        <w:tab w:val="center" w:pos="7143" w:leader="none"/>
        <w:tab w:val="right" w:pos="14287" w:leader="none"/>
      </w:tabs>
    </w:pPr>
  </w:style>
  <w:style w:type="paragraph" w:styleId="751">
    <w:name w:val="envelope return"/>
    <w:basedOn w:val="724"/>
    <w:uiPriority w:val="99"/>
    <w:unhideWhenUsed/>
    <w:qFormat/>
    <w:rPr>
      <w:rFonts w:ascii="Arial" w:hAnsi="Arial"/>
    </w:rPr>
  </w:style>
  <w:style w:type="paragraph" w:styleId="752">
    <w:name w:val="Header"/>
    <w:basedOn w:val="724"/>
    <w:link w:val="842"/>
    <w:uiPriority w:val="99"/>
    <w:unhideWhenUsed/>
    <w:qFormat/>
    <w:pPr>
      <w:tabs>
        <w:tab w:val="center" w:pos="7143" w:leader="none"/>
        <w:tab w:val="right" w:pos="14287" w:leader="none"/>
      </w:tabs>
    </w:pPr>
  </w:style>
  <w:style w:type="paragraph" w:styleId="753">
    <w:name w:val="toc 1"/>
    <w:basedOn w:val="724"/>
    <w:next w:val="724"/>
    <w:uiPriority w:val="39"/>
    <w:unhideWhenUsed/>
    <w:qFormat/>
    <w:pPr>
      <w:spacing w:after="57"/>
    </w:pPr>
  </w:style>
  <w:style w:type="paragraph" w:styleId="754">
    <w:name w:val="toc 4"/>
    <w:basedOn w:val="724"/>
    <w:next w:val="724"/>
    <w:uiPriority w:val="39"/>
    <w:unhideWhenUsed/>
    <w:qFormat/>
    <w:pPr>
      <w:ind w:left="850"/>
      <w:spacing w:after="57"/>
    </w:pPr>
  </w:style>
  <w:style w:type="paragraph" w:styleId="755">
    <w:name w:val="Subtitle"/>
    <w:basedOn w:val="724"/>
    <w:next w:val="724"/>
    <w:link w:val="837"/>
    <w:uiPriority w:val="11"/>
    <w:qFormat/>
    <w:pPr>
      <w:spacing w:before="200" w:after="200"/>
    </w:pPr>
    <w:rPr>
      <w:sz w:val="24"/>
      <w:szCs w:val="24"/>
    </w:rPr>
  </w:style>
  <w:style w:type="paragraph" w:styleId="756">
    <w:name w:val="footnote text"/>
    <w:basedOn w:val="724"/>
    <w:link w:val="951"/>
    <w:uiPriority w:val="99"/>
    <w:semiHidden/>
    <w:unhideWhenUsed/>
    <w:qFormat/>
    <w:pPr>
      <w:spacing w:after="40"/>
    </w:pPr>
    <w:rPr>
      <w:sz w:val="18"/>
    </w:rPr>
  </w:style>
  <w:style w:type="paragraph" w:styleId="757">
    <w:name w:val="table of figures"/>
    <w:basedOn w:val="724"/>
    <w:next w:val="724"/>
    <w:uiPriority w:val="99"/>
    <w:unhideWhenUsed/>
    <w:qFormat/>
  </w:style>
  <w:style w:type="paragraph" w:styleId="758">
    <w:name w:val="toc 2"/>
    <w:basedOn w:val="724"/>
    <w:next w:val="724"/>
    <w:uiPriority w:val="39"/>
    <w:unhideWhenUsed/>
    <w:qFormat/>
    <w:pPr>
      <w:ind w:left="283"/>
      <w:spacing w:after="57"/>
    </w:pPr>
  </w:style>
  <w:style w:type="paragraph" w:styleId="759">
    <w:name w:val="toc 9"/>
    <w:basedOn w:val="724"/>
    <w:next w:val="724"/>
    <w:uiPriority w:val="39"/>
    <w:unhideWhenUsed/>
    <w:qFormat/>
    <w:pPr>
      <w:ind w:left="2268"/>
      <w:spacing w:after="57"/>
    </w:pPr>
  </w:style>
  <w:style w:type="paragraph" w:styleId="760">
    <w:name w:val="Body Text 2"/>
    <w:basedOn w:val="724"/>
    <w:uiPriority w:val="0"/>
    <w:qFormat/>
    <w:pPr>
      <w:jc w:val="center"/>
    </w:pPr>
    <w:rPr>
      <w:rFonts w:ascii="仿宋_GB2312" w:eastAsia="仿宋_GB2312"/>
      <w:sz w:val="44"/>
    </w:rPr>
  </w:style>
  <w:style w:type="paragraph" w:styleId="761">
    <w:name w:val="Normal (Web)"/>
    <w:basedOn w:val="724"/>
    <w:uiPriority w:val="99"/>
    <w:semiHidden/>
    <w:unhideWhenUsed/>
    <w:qFormat/>
    <w:pPr>
      <w:jc w:val="left"/>
      <w:spacing w:beforeAutospacing="1" w:afterAutospacing="1"/>
    </w:pPr>
    <w:rPr>
      <w:sz w:val="24"/>
    </w:rPr>
  </w:style>
  <w:style w:type="paragraph" w:styleId="762">
    <w:name w:val="Title"/>
    <w:basedOn w:val="724"/>
    <w:next w:val="724"/>
    <w:link w:val="836"/>
    <w:uiPriority w:val="10"/>
    <w:qFormat/>
    <w:pPr>
      <w:contextualSpacing/>
      <w:spacing w:before="300" w:after="200"/>
    </w:pPr>
    <w:rPr>
      <w:sz w:val="48"/>
      <w:szCs w:val="48"/>
    </w:rPr>
  </w:style>
  <w:style w:type="paragraph" w:styleId="763">
    <w:name w:val="Body Text First Indent 2"/>
    <w:basedOn w:val="744"/>
    <w:uiPriority w:val="99"/>
    <w:unhideWhenUsed/>
    <w:qFormat/>
    <w:pPr>
      <w:ind w:firstLine="200"/>
    </w:p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themeColor="hyperlink"/>
      <w:u w:val="single"/>
      <w14:textFill>
        <w14:solidFill>
          <w14:schemeClr w14:val="hlink"/>
        </w14:solidFill>
      </w14:textFill>
    </w:rPr>
  </w:style>
  <w:style w:type="character" w:styleId="767">
    <w:name w:val="footnote reference"/>
    <w:uiPriority w:val="99"/>
    <w:unhideWhenUsed/>
    <w:qFormat/>
    <w:rPr>
      <w:vertAlign w:val="superscript"/>
    </w:rPr>
  </w:style>
  <w:style w:type="paragraph" w:styleId="768" w:customStyle="1">
    <w:name w:val="正文文本11"/>
    <w:basedOn w:val="724"/>
    <w:next w:val="724"/>
    <w:uiPriority w:val="0"/>
    <w:qFormat/>
    <w:rPr>
      <w:rFonts w:ascii="楷体_GB2312" w:hAnsi="Arial" w:eastAsia="楷体_GB2312"/>
      <w:sz w:val="28"/>
      <w:szCs w:val="20"/>
    </w:rPr>
  </w:style>
  <w:style w:type="table" w:styleId="769" w:customStyle="1">
    <w:name w:val="Plain Table 1"/>
    <w:basedOn w:val="7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Plain Table 2"/>
    <w:basedOn w:val="7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3"/>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Plain Table 4"/>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Plain Table 5"/>
    <w:basedOn w:val="7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Grid Table 1 Light"/>
    <w:basedOn w:val="7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2"/>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3"/>
    <w:basedOn w:val="7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7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5 Dark"/>
    <w:basedOn w:val="7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6 Colorful"/>
    <w:basedOn w:val="7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7 Colorful"/>
    <w:basedOn w:val="7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1" w:customStyle="1">
    <w:name w:val="List Table 1 Light"/>
    <w:basedOn w:val="7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customStyle="1">
    <w:name w:val="List Table 2"/>
    <w:basedOn w:val="7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3" w:customStyle="1">
    <w:name w:val="List Table 3"/>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4"/>
    <w:basedOn w:val="7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5 Dark"/>
    <w:basedOn w:val="7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6 Colorful"/>
    <w:basedOn w:val="7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7" w:customStyle="1">
    <w:name w:val="List Table 7 Colorful"/>
    <w:basedOn w:val="7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8" w:customStyle="1">
    <w:name w:val="TOC Heading"/>
    <w:uiPriority w:val="39"/>
    <w:unhideWhenUsed/>
    <w:qFormat/>
    <w:rPr>
      <w:rFonts w:hint="default" w:ascii="Times New Roman" w:hAnsi="Times New Roman" w:eastAsia="宋体" w:cs="Times New Roman"/>
    </w:rPr>
  </w:style>
  <w:style w:type="table" w:styleId="789" w:customStyle="1">
    <w:name w:val="无格式表格 11"/>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3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3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3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网格表 21"/>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6" w:customStyle="1">
    <w:name w:val="网格表 31"/>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网格表 41"/>
    <w:basedOn w:val="7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网格表 5 深色1"/>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9" w:customStyle="1">
    <w:name w:val="网格表 6 彩色1"/>
    <w:basedOn w:val="7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网格表 7 彩色1"/>
    <w:basedOn w:val="7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清单表 1 浅色1"/>
    <w:basedOn w:val="73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清单表 21"/>
    <w:basedOn w:val="7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清单表 3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清单表 41"/>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清单表 5 深色1"/>
    <w:basedOn w:val="7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清单表 6 彩色1"/>
    <w:basedOn w:val="73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7" w:customStyle="1">
    <w:name w:val="清单表 7 彩色1"/>
    <w:basedOn w:val="73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8" w:customStyle="1">
    <w:name w:val="TOC 标题1"/>
    <w:uiPriority w:val="39"/>
    <w:unhideWhenUsed/>
    <w:qFormat/>
    <w:rPr>
      <w:rFonts w:hint="default" w:ascii="Times New Roman" w:hAnsi="Times New Roman" w:eastAsia="宋体" w:cs="Times New Roman"/>
    </w:rPr>
  </w:style>
  <w:style w:type="paragraph" w:styleId="809">
    <w:name w:val="List Paragraph"/>
    <w:basedOn w:val="724"/>
    <w:uiPriority w:val="0"/>
    <w:qFormat/>
    <w:pPr>
      <w:ind w:firstLine="420"/>
    </w:pPr>
    <w:rPr>
      <w:rFonts w:ascii="Calibri" w:hAnsi="Calibri" w:eastAsia="宋体"/>
      <w:sz w:val="21"/>
      <w:szCs w:val="22"/>
    </w:rPr>
  </w:style>
  <w:style w:type="character" w:styleId="810" w:customStyle="1">
    <w:name w:val="Heading 2 Char"/>
    <w:basedOn w:val="734"/>
    <w:uiPriority w:val="9"/>
    <w:qFormat/>
    <w:rPr>
      <w:rFonts w:ascii="Arial" w:hAnsi="Arial" w:eastAsia="Arial" w:cs="Arial"/>
      <w:sz w:val="34"/>
    </w:rPr>
  </w:style>
  <w:style w:type="character" w:styleId="811" w:customStyle="1">
    <w:name w:val="Heading 3 Char"/>
    <w:basedOn w:val="734"/>
    <w:uiPriority w:val="9"/>
    <w:qFormat/>
    <w:rPr>
      <w:rFonts w:ascii="Arial" w:hAnsi="Arial" w:eastAsia="Arial" w:cs="Arial"/>
      <w:sz w:val="30"/>
      <w:szCs w:val="30"/>
    </w:rPr>
  </w:style>
  <w:style w:type="character" w:styleId="812" w:customStyle="1">
    <w:name w:val="Heading 4 Char"/>
    <w:basedOn w:val="734"/>
    <w:uiPriority w:val="9"/>
    <w:qFormat/>
    <w:rPr>
      <w:rFonts w:ascii="Arial" w:hAnsi="Arial" w:eastAsia="Arial" w:cs="Arial"/>
      <w:b/>
      <w:bCs/>
      <w:sz w:val="26"/>
      <w:szCs w:val="26"/>
    </w:rPr>
  </w:style>
  <w:style w:type="character" w:styleId="813" w:customStyle="1">
    <w:name w:val="Heading 5 Char"/>
    <w:basedOn w:val="734"/>
    <w:uiPriority w:val="9"/>
    <w:qFormat/>
    <w:rPr>
      <w:rFonts w:ascii="Arial" w:hAnsi="Arial" w:eastAsia="Arial" w:cs="Arial"/>
      <w:b/>
      <w:bCs/>
      <w:sz w:val="24"/>
      <w:szCs w:val="24"/>
    </w:rPr>
  </w:style>
  <w:style w:type="character" w:styleId="814" w:customStyle="1">
    <w:name w:val="Heading 6 Char"/>
    <w:basedOn w:val="734"/>
    <w:uiPriority w:val="9"/>
    <w:qFormat/>
    <w:rPr>
      <w:rFonts w:ascii="Arial" w:hAnsi="Arial" w:eastAsia="Arial" w:cs="Arial"/>
      <w:b/>
      <w:bCs/>
      <w:sz w:val="22"/>
      <w:szCs w:val="22"/>
    </w:rPr>
  </w:style>
  <w:style w:type="character" w:styleId="815" w:customStyle="1">
    <w:name w:val="Heading 7 Char"/>
    <w:basedOn w:val="734"/>
    <w:uiPriority w:val="9"/>
    <w:qFormat/>
    <w:rPr>
      <w:rFonts w:ascii="Arial" w:hAnsi="Arial" w:eastAsia="Arial" w:cs="Arial"/>
      <w:b/>
      <w:bCs/>
      <w:i/>
      <w:iCs/>
      <w:sz w:val="22"/>
      <w:szCs w:val="22"/>
    </w:rPr>
  </w:style>
  <w:style w:type="character" w:styleId="816" w:customStyle="1">
    <w:name w:val="Heading 8 Char"/>
    <w:basedOn w:val="734"/>
    <w:uiPriority w:val="9"/>
    <w:qFormat/>
    <w:rPr>
      <w:rFonts w:ascii="Arial" w:hAnsi="Arial" w:eastAsia="Arial" w:cs="Arial"/>
      <w:i/>
      <w:iCs/>
      <w:sz w:val="22"/>
      <w:szCs w:val="22"/>
    </w:rPr>
  </w:style>
  <w:style w:type="character" w:styleId="817" w:customStyle="1">
    <w:name w:val="Heading 9 Char"/>
    <w:basedOn w:val="734"/>
    <w:uiPriority w:val="9"/>
    <w:qFormat/>
    <w:rPr>
      <w:rFonts w:ascii="Arial" w:hAnsi="Arial" w:eastAsia="Arial" w:cs="Arial"/>
      <w:i/>
      <w:iCs/>
      <w:sz w:val="21"/>
      <w:szCs w:val="21"/>
    </w:rPr>
  </w:style>
  <w:style w:type="character" w:styleId="818" w:customStyle="1">
    <w:name w:val="Title Char"/>
    <w:basedOn w:val="734"/>
    <w:uiPriority w:val="10"/>
    <w:qFormat/>
    <w:rPr>
      <w:sz w:val="48"/>
      <w:szCs w:val="48"/>
    </w:rPr>
  </w:style>
  <w:style w:type="character" w:styleId="819" w:customStyle="1">
    <w:name w:val="Subtitle Char"/>
    <w:basedOn w:val="734"/>
    <w:uiPriority w:val="11"/>
    <w:qFormat/>
    <w:rPr>
      <w:sz w:val="24"/>
      <w:szCs w:val="24"/>
    </w:rPr>
  </w:style>
  <w:style w:type="character" w:styleId="820" w:customStyle="1">
    <w:name w:val="Quote Char"/>
    <w:uiPriority w:val="29"/>
    <w:qFormat/>
    <w:rPr>
      <w:i/>
    </w:rPr>
  </w:style>
  <w:style w:type="character" w:styleId="821" w:customStyle="1">
    <w:name w:val="Intense Quote Char"/>
    <w:uiPriority w:val="30"/>
    <w:qFormat/>
    <w:rPr>
      <w:i/>
    </w:rPr>
  </w:style>
  <w:style w:type="character" w:styleId="822" w:customStyle="1">
    <w:name w:val="Header Char"/>
    <w:basedOn w:val="734"/>
    <w:uiPriority w:val="99"/>
    <w:qFormat/>
  </w:style>
  <w:style w:type="character" w:styleId="823" w:customStyle="1">
    <w:name w:val="Caption Char"/>
    <w:uiPriority w:val="99"/>
    <w:qFormat/>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标题111"/>
    <w:uiPriority w:val="39"/>
    <w:unhideWhenUsed/>
    <w:qFormat/>
    <w:rPr>
      <w:rFonts w:hint="default" w:ascii="Calibri" w:hAnsi="Calibri" w:eastAsia="宋体" w:cs="Calibri"/>
    </w:rPr>
  </w:style>
  <w:style w:type="character" w:styleId="827" w:customStyle="1">
    <w:name w:val="Heading 1 Char"/>
    <w:uiPriority w:val="9"/>
    <w:qFormat/>
    <w:rPr>
      <w:rFonts w:ascii="Arial" w:hAnsi="Arial" w:eastAsia="Arial" w:cs="Arial"/>
      <w:sz w:val="40"/>
      <w:szCs w:val="40"/>
    </w:rPr>
  </w:style>
  <w:style w:type="character" w:styleId="828" w:customStyle="1">
    <w:name w:val="标题 2 字符"/>
    <w:link w:val="726"/>
    <w:uiPriority w:val="9"/>
    <w:qFormat/>
    <w:rPr>
      <w:rFonts w:ascii="Arial" w:hAnsi="Arial" w:eastAsia="Arial" w:cs="Arial"/>
      <w:sz w:val="34"/>
    </w:rPr>
  </w:style>
  <w:style w:type="character" w:styleId="829" w:customStyle="1">
    <w:name w:val="标题 3 字符"/>
    <w:link w:val="727"/>
    <w:uiPriority w:val="9"/>
    <w:qFormat/>
    <w:rPr>
      <w:rFonts w:ascii="Arial" w:hAnsi="Arial" w:eastAsia="Arial" w:cs="Arial"/>
      <w:sz w:val="30"/>
      <w:szCs w:val="30"/>
    </w:rPr>
  </w:style>
  <w:style w:type="character" w:styleId="830" w:customStyle="1">
    <w:name w:val="标题 4 字符"/>
    <w:link w:val="728"/>
    <w:uiPriority w:val="9"/>
    <w:qFormat/>
    <w:rPr>
      <w:rFonts w:ascii="Arial" w:hAnsi="Arial" w:eastAsia="Arial" w:cs="Arial"/>
      <w:b/>
      <w:bCs/>
      <w:sz w:val="26"/>
      <w:szCs w:val="26"/>
    </w:rPr>
  </w:style>
  <w:style w:type="character" w:styleId="831" w:customStyle="1">
    <w:name w:val="标题 5 字符"/>
    <w:link w:val="729"/>
    <w:uiPriority w:val="9"/>
    <w:qFormat/>
    <w:rPr>
      <w:rFonts w:ascii="Arial" w:hAnsi="Arial" w:eastAsia="Arial" w:cs="Arial"/>
      <w:b/>
      <w:bCs/>
      <w:sz w:val="24"/>
      <w:szCs w:val="24"/>
    </w:rPr>
  </w:style>
  <w:style w:type="character" w:styleId="832" w:customStyle="1">
    <w:name w:val="标题 6 字符"/>
    <w:link w:val="730"/>
    <w:uiPriority w:val="9"/>
    <w:qFormat/>
    <w:rPr>
      <w:rFonts w:ascii="Arial" w:hAnsi="Arial" w:eastAsia="Arial" w:cs="Arial"/>
      <w:b/>
      <w:bCs/>
      <w:sz w:val="22"/>
      <w:szCs w:val="22"/>
    </w:rPr>
  </w:style>
  <w:style w:type="character" w:styleId="833" w:customStyle="1">
    <w:name w:val="标题 7 字符"/>
    <w:link w:val="731"/>
    <w:uiPriority w:val="9"/>
    <w:qFormat/>
    <w:rPr>
      <w:rFonts w:ascii="Arial" w:hAnsi="Arial" w:eastAsia="Arial" w:cs="Arial"/>
      <w:b/>
      <w:bCs/>
      <w:i/>
      <w:iCs/>
      <w:sz w:val="22"/>
      <w:szCs w:val="22"/>
    </w:rPr>
  </w:style>
  <w:style w:type="character" w:styleId="834" w:customStyle="1">
    <w:name w:val="标题 8 字符"/>
    <w:link w:val="732"/>
    <w:uiPriority w:val="9"/>
    <w:qFormat/>
    <w:rPr>
      <w:rFonts w:ascii="Arial" w:hAnsi="Arial" w:eastAsia="Arial" w:cs="Arial"/>
      <w:i/>
      <w:iCs/>
      <w:sz w:val="22"/>
      <w:szCs w:val="22"/>
    </w:rPr>
  </w:style>
  <w:style w:type="character" w:styleId="835" w:customStyle="1">
    <w:name w:val="标题 9 字符"/>
    <w:link w:val="733"/>
    <w:uiPriority w:val="9"/>
    <w:qFormat/>
    <w:rPr>
      <w:rFonts w:ascii="Arial" w:hAnsi="Arial" w:eastAsia="Arial" w:cs="Arial"/>
      <w:i/>
      <w:iCs/>
      <w:sz w:val="21"/>
      <w:szCs w:val="21"/>
    </w:rPr>
  </w:style>
  <w:style w:type="character" w:styleId="836" w:customStyle="1">
    <w:name w:val="标题 字符"/>
    <w:link w:val="762"/>
    <w:uiPriority w:val="10"/>
    <w:qFormat/>
    <w:rPr>
      <w:sz w:val="48"/>
      <w:szCs w:val="48"/>
    </w:rPr>
  </w:style>
  <w:style w:type="character" w:styleId="837" w:customStyle="1">
    <w:name w:val="副标题 字符"/>
    <w:link w:val="755"/>
    <w:uiPriority w:val="11"/>
    <w:qFormat/>
    <w:rPr>
      <w:sz w:val="24"/>
      <w:szCs w:val="24"/>
    </w:rPr>
  </w:style>
  <w:style w:type="paragraph" w:styleId="838">
    <w:name w:val="Quote"/>
    <w:basedOn w:val="724"/>
    <w:next w:val="724"/>
    <w:link w:val="839"/>
    <w:uiPriority w:val="29"/>
    <w:qFormat/>
    <w:pPr>
      <w:ind w:left="720" w:right="720"/>
    </w:pPr>
    <w:rPr>
      <w:i/>
    </w:rPr>
  </w:style>
  <w:style w:type="character" w:styleId="839" w:customStyle="1">
    <w:name w:val="引用 字符"/>
    <w:link w:val="838"/>
    <w:uiPriority w:val="29"/>
    <w:qFormat/>
    <w:rPr>
      <w:i/>
    </w:rPr>
  </w:style>
  <w:style w:type="paragraph" w:styleId="840">
    <w:name w:val="Intense Quote"/>
    <w:basedOn w:val="724"/>
    <w:next w:val="724"/>
    <w:link w:val="8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customStyle="1">
    <w:name w:val="明显引用 字符"/>
    <w:link w:val="840"/>
    <w:uiPriority w:val="30"/>
    <w:qFormat/>
    <w:rPr>
      <w:i/>
    </w:rPr>
  </w:style>
  <w:style w:type="character" w:styleId="842" w:customStyle="1">
    <w:name w:val="页眉 字符"/>
    <w:link w:val="752"/>
    <w:uiPriority w:val="99"/>
    <w:qFormat/>
  </w:style>
  <w:style w:type="character" w:styleId="843" w:customStyle="1">
    <w:name w:val="Footer Char"/>
    <w:uiPriority w:val="99"/>
    <w:qFormat/>
  </w:style>
  <w:style w:type="character" w:styleId="844" w:customStyle="1">
    <w:name w:val="页脚 字符"/>
    <w:link w:val="750"/>
    <w:uiPriority w:val="99"/>
    <w:qFormat/>
  </w:style>
  <w:style w:type="table" w:styleId="8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脚注文本 字符"/>
    <w:link w:val="756"/>
    <w:uiPriority w:val="99"/>
    <w:qFormat/>
    <w:rPr>
      <w:sz w:val="18"/>
    </w:rPr>
  </w:style>
  <w:style w:type="character" w:styleId="952" w:customStyle="1">
    <w:name w:val="尾注文本 字符"/>
    <w:link w:val="749"/>
    <w:uiPriority w:val="99"/>
    <w:qFormat/>
    <w:rPr>
      <w:sz w:val="20"/>
    </w:rPr>
  </w:style>
  <w:style w:type="paragraph" w:styleId="953" w:customStyle="1">
    <w:name w:val="TOC 标题11"/>
    <w:uiPriority w:val="39"/>
    <w:unhideWhenUsed/>
    <w:qFormat/>
    <w:rPr>
      <w:rFonts w:hint="default" w:ascii="Times New Roman" w:hAnsi="Times New Roman" w:eastAsia="宋体" w:cs="Times New Roman"/>
    </w:rPr>
  </w:style>
  <w:style w:type="paragraph" w:styleId="954" w:customStyle="1">
    <w:name w:val="标题 11"/>
    <w:basedOn w:val="724"/>
    <w:next w:val="724"/>
    <w:uiPriority w:val="0"/>
    <w:qFormat/>
    <w:pPr>
      <w:keepLines/>
      <w:keepNext/>
      <w:spacing w:before="340" w:after="330" w:line="578" w:lineRule="auto"/>
      <w:outlineLvl w:val="0"/>
    </w:pPr>
    <w:rPr>
      <w:b/>
      <w:sz w:val="44"/>
    </w:rPr>
  </w:style>
  <w:style w:type="paragraph" w:styleId="955" w:customStyle="1">
    <w:name w:val="标题 21"/>
    <w:basedOn w:val="724"/>
    <w:next w:val="724"/>
    <w:link w:val="963"/>
    <w:uiPriority w:val="0"/>
    <w:qFormat/>
    <w:pPr>
      <w:keepLines/>
      <w:keepNext/>
      <w:spacing w:before="260" w:after="260" w:line="416" w:lineRule="auto"/>
      <w:outlineLvl w:val="1"/>
    </w:pPr>
    <w:rPr>
      <w:rFonts w:ascii="Cambria" w:hAnsi="Cambria" w:eastAsia="宋体"/>
      <w:b/>
      <w:bCs/>
      <w:sz w:val="32"/>
      <w:szCs w:val="32"/>
    </w:rPr>
  </w:style>
  <w:style w:type="paragraph" w:styleId="956" w:customStyle="1">
    <w:name w:val="标题 31"/>
    <w:basedOn w:val="724"/>
    <w:next w:val="724"/>
    <w:link w:val="964"/>
    <w:uiPriority w:val="0"/>
    <w:qFormat/>
    <w:pPr>
      <w:keepLines/>
      <w:keepNext/>
      <w:spacing w:before="260" w:after="260" w:line="416" w:lineRule="auto"/>
      <w:outlineLvl w:val="2"/>
    </w:pPr>
    <w:rPr>
      <w:b/>
      <w:bCs/>
      <w:sz w:val="32"/>
      <w:szCs w:val="32"/>
    </w:rPr>
  </w:style>
  <w:style w:type="paragraph" w:styleId="957" w:customStyle="1">
    <w:name w:val="标题 41"/>
    <w:basedOn w:val="724"/>
    <w:next w:val="724"/>
    <w:link w:val="965"/>
    <w:uiPriority w:val="0"/>
    <w:qFormat/>
    <w:pPr>
      <w:keepLines/>
      <w:keepNext/>
      <w:spacing w:before="280" w:after="290" w:line="376" w:lineRule="auto"/>
      <w:outlineLvl w:val="3"/>
    </w:pPr>
    <w:rPr>
      <w:rFonts w:ascii="Cambria" w:hAnsi="Cambria" w:eastAsia="宋体"/>
      <w:b/>
      <w:bCs/>
      <w:sz w:val="28"/>
      <w:szCs w:val="28"/>
    </w:rPr>
  </w:style>
  <w:style w:type="paragraph" w:styleId="958" w:customStyle="1">
    <w:name w:val="标题 51"/>
    <w:basedOn w:val="724"/>
    <w:next w:val="724"/>
    <w:link w:val="966"/>
    <w:uiPriority w:val="0"/>
    <w:qFormat/>
    <w:pPr>
      <w:jc w:val="center"/>
      <w:keepLines/>
      <w:keepNext/>
      <w:outlineLvl w:val="4"/>
    </w:pPr>
    <w:rPr>
      <w:rFonts w:eastAsia="宋体"/>
      <w:b/>
      <w:bCs/>
      <w:sz w:val="28"/>
      <w:szCs w:val="28"/>
    </w:rPr>
  </w:style>
  <w:style w:type="character" w:styleId="959" w:customStyle="1">
    <w:name w:val="默认段落字体1"/>
    <w:uiPriority w:val="1"/>
    <w:unhideWhenUsed/>
    <w:qFormat/>
  </w:style>
  <w:style w:type="table" w:styleId="960" w:customStyle="1">
    <w:name w:val="普通表格1"/>
    <w:uiPriority w:val="99"/>
    <w:unhideWhenUsed/>
    <w:qFormat/>
    <w:tblPr>
      <w:tblCellMar>
        <w:left w:w="0" w:type="dxa"/>
        <w:top w:w="0" w:type="dxa"/>
        <w:right w:w="0" w:type="dxa"/>
        <w:bottom w:w="0" w:type="dxa"/>
      </w:tblCellMar>
    </w:tblPr>
  </w:style>
  <w:style w:type="paragraph" w:styleId="961" w:customStyle="1">
    <w:name w:val="DAS正文"/>
    <w:basedOn w:val="724"/>
    <w:uiPriority w:val="0"/>
    <w:qFormat/>
    <w:pPr>
      <w:ind w:right="181" w:firstLine="480"/>
      <w:spacing w:line="360" w:lineRule="auto"/>
    </w:pPr>
    <w:rPr>
      <w:rFonts w:ascii="Verdana" w:hAnsi="Verdana"/>
      <w:sz w:val="24"/>
      <w:szCs w:val="24"/>
    </w:rPr>
  </w:style>
  <w:style w:type="character" w:styleId="962" w:customStyle="1">
    <w:name w:val="标题 1 字符"/>
    <w:basedOn w:val="734"/>
    <w:link w:val="725"/>
    <w:uiPriority w:val="0"/>
    <w:qFormat/>
    <w:rPr>
      <w:rFonts w:eastAsia="楷体_GB2312"/>
      <w:b/>
      <w:sz w:val="44"/>
    </w:rPr>
  </w:style>
  <w:style w:type="character" w:styleId="963" w:customStyle="1">
    <w:name w:val="标题 2 Char"/>
    <w:link w:val="955"/>
    <w:uiPriority w:val="0"/>
    <w:qFormat/>
    <w:rPr>
      <w:rFonts w:ascii="Cambria" w:hAnsi="Cambria" w:eastAsia="宋体" w:cs="Times New Roman"/>
      <w:b/>
      <w:bCs/>
      <w:sz w:val="32"/>
      <w:szCs w:val="32"/>
    </w:rPr>
  </w:style>
  <w:style w:type="character" w:styleId="964" w:customStyle="1">
    <w:name w:val="标题 3 Char"/>
    <w:link w:val="956"/>
    <w:uiPriority w:val="0"/>
    <w:qFormat/>
    <w:rPr>
      <w:rFonts w:eastAsia="楷体_GB2312"/>
      <w:b/>
      <w:bCs/>
      <w:sz w:val="32"/>
      <w:szCs w:val="32"/>
    </w:rPr>
  </w:style>
  <w:style w:type="character" w:styleId="965" w:customStyle="1">
    <w:name w:val="标题 4 Char"/>
    <w:link w:val="957"/>
    <w:uiPriority w:val="0"/>
    <w:qFormat/>
    <w:rPr>
      <w:rFonts w:ascii="Cambria" w:hAnsi="Cambria" w:eastAsia="宋体" w:cs="Times New Roman"/>
      <w:b/>
      <w:bCs/>
      <w:sz w:val="28"/>
      <w:szCs w:val="28"/>
    </w:rPr>
  </w:style>
  <w:style w:type="character" w:styleId="966" w:customStyle="1">
    <w:name w:val="标题 5 Char"/>
    <w:link w:val="958"/>
    <w:uiPriority w:val="0"/>
    <w:qFormat/>
    <w:rPr>
      <w:b/>
      <w:bCs/>
      <w:sz w:val="28"/>
      <w:szCs w:val="28"/>
    </w:rPr>
  </w:style>
  <w:style w:type="paragraph" w:styleId="967" w:customStyle="1">
    <w:name w:val="正文缩进1"/>
    <w:basedOn w:val="724"/>
    <w:link w:val="968"/>
    <w:uiPriority w:val="0"/>
    <w:unhideWhenUsed/>
    <w:qFormat/>
    <w:pPr>
      <w:ind w:firstLine="420"/>
      <w:jc w:val="left"/>
    </w:pPr>
    <w:rPr>
      <w:sz w:val="24"/>
    </w:rPr>
  </w:style>
  <w:style w:type="character" w:styleId="968" w:customStyle="1">
    <w:name w:val="正文缩进 Char"/>
    <w:link w:val="967"/>
    <w:uiPriority w:val="0"/>
    <w:qFormat/>
    <w:rPr>
      <w:rFonts w:eastAsia="楷体_GB2312"/>
      <w:sz w:val="24"/>
    </w:rPr>
  </w:style>
  <w:style w:type="paragraph" w:styleId="969" w:customStyle="1">
    <w:name w:val="文档结构图1"/>
    <w:basedOn w:val="724"/>
    <w:link w:val="970"/>
    <w:uiPriority w:val="0"/>
    <w:unhideWhenUsed/>
    <w:qFormat/>
    <w:pPr>
      <w:shd w:val="clear" w:color="auto" w:fill="000080"/>
    </w:pPr>
    <w:rPr>
      <w:rFonts w:eastAsia="宋体"/>
      <w:sz w:val="21"/>
      <w:szCs w:val="24"/>
    </w:rPr>
  </w:style>
  <w:style w:type="character" w:styleId="970" w:customStyle="1">
    <w:name w:val="文档结构图 Char"/>
    <w:link w:val="969"/>
    <w:uiPriority w:val="0"/>
    <w:qFormat/>
    <w:rPr>
      <w:sz w:val="21"/>
      <w:szCs w:val="24"/>
      <w:shd w:val="clear" w:color="auto" w:fill="000080"/>
    </w:rPr>
  </w:style>
  <w:style w:type="paragraph" w:styleId="971" w:customStyle="1">
    <w:name w:val="批注文字1"/>
    <w:basedOn w:val="724"/>
    <w:link w:val="972"/>
    <w:uiPriority w:val="0"/>
    <w:qFormat/>
    <w:pPr>
      <w:jc w:val="left"/>
    </w:pPr>
  </w:style>
  <w:style w:type="character" w:styleId="972" w:customStyle="1">
    <w:name w:val="批注文字 Char"/>
    <w:link w:val="971"/>
    <w:uiPriority w:val="0"/>
    <w:qFormat/>
    <w:rPr>
      <w:rFonts w:eastAsia="楷体_GB2312"/>
      <w:sz w:val="26"/>
    </w:rPr>
  </w:style>
  <w:style w:type="paragraph" w:styleId="973" w:customStyle="1">
    <w:name w:val="正文文本 31"/>
    <w:basedOn w:val="724"/>
    <w:link w:val="974"/>
    <w:uiPriority w:val="0"/>
    <w:unhideWhenUsed/>
    <w:qFormat/>
    <w:pPr>
      <w:jc w:val="center"/>
    </w:pPr>
    <w:rPr>
      <w:rFonts w:ascii="宋体" w:hAnsi="宋体"/>
    </w:rPr>
  </w:style>
  <w:style w:type="character" w:styleId="974" w:customStyle="1">
    <w:name w:val="正文文本 3 Char"/>
    <w:link w:val="973"/>
    <w:uiPriority w:val="0"/>
    <w:qFormat/>
    <w:rPr>
      <w:rFonts w:ascii="宋体" w:hAnsi="宋体" w:eastAsia="楷体_GB2312"/>
      <w:sz w:val="26"/>
    </w:rPr>
  </w:style>
  <w:style w:type="paragraph" w:styleId="975" w:customStyle="1">
    <w:name w:val="正文文本1"/>
    <w:basedOn w:val="724"/>
    <w:next w:val="724"/>
    <w:link w:val="976"/>
    <w:uiPriority w:val="0"/>
    <w:unhideWhenUsed/>
    <w:qFormat/>
    <w:rPr>
      <w:rFonts w:ascii="楷体_GB2312"/>
      <w:b/>
      <w:bCs/>
      <w:sz w:val="28"/>
    </w:rPr>
  </w:style>
  <w:style w:type="character" w:styleId="976" w:customStyle="1">
    <w:name w:val="正文文本 Char1"/>
    <w:link w:val="975"/>
    <w:uiPriority w:val="0"/>
    <w:qFormat/>
    <w:rPr>
      <w:rFonts w:ascii="楷体_GB2312" w:eastAsia="楷体_GB2312"/>
      <w:b/>
      <w:bCs/>
      <w:sz w:val="28"/>
    </w:rPr>
  </w:style>
  <w:style w:type="paragraph" w:styleId="977" w:customStyle="1">
    <w:name w:val="正文文本缩进1"/>
    <w:basedOn w:val="724"/>
    <w:next w:val="978"/>
    <w:link w:val="979"/>
    <w:uiPriority w:val="0"/>
    <w:unhideWhenUsed/>
    <w:qFormat/>
    <w:pPr>
      <w:ind w:firstLine="570"/>
    </w:pPr>
    <w:rPr>
      <w:rFonts w:ascii="宋体" w:eastAsia="宋体"/>
      <w:sz w:val="28"/>
    </w:rPr>
  </w:style>
  <w:style w:type="paragraph" w:styleId="978" w:customStyle="1">
    <w:name w:val="Default"/>
    <w:uiPriority w:val="0"/>
    <w:qFormat/>
    <w:pPr>
      <w:widowControl w:val="off"/>
    </w:pPr>
    <w:rPr>
      <w:rFonts w:hint="default" w:ascii="仿宋" w:hAnsi="Times New Roman" w:eastAsia="仿宋" w:cs="仿宋"/>
      <w:color w:val="000000"/>
      <w:sz w:val="24"/>
      <w:szCs w:val="24"/>
    </w:rPr>
  </w:style>
  <w:style w:type="character" w:styleId="979" w:customStyle="1">
    <w:name w:val="正文文本缩进 Char"/>
    <w:link w:val="977"/>
    <w:uiPriority w:val="0"/>
    <w:qFormat/>
    <w:rPr>
      <w:rFonts w:ascii="宋体"/>
      <w:sz w:val="28"/>
    </w:rPr>
  </w:style>
  <w:style w:type="paragraph" w:styleId="980" w:customStyle="1">
    <w:name w:val="目录 31"/>
    <w:basedOn w:val="724"/>
    <w:next w:val="724"/>
    <w:uiPriority w:val="0"/>
    <w:qFormat/>
    <w:pPr>
      <w:ind w:left="359"/>
      <w:tabs>
        <w:tab w:val="right" w:pos="8302" w:leader="dot"/>
      </w:tabs>
    </w:pPr>
    <w:rPr>
      <w:rFonts w:eastAsia="宋体"/>
      <w:sz w:val="21"/>
      <w:szCs w:val="24"/>
    </w:rPr>
  </w:style>
  <w:style w:type="paragraph" w:styleId="981" w:customStyle="1">
    <w:name w:val="纯文本1111"/>
    <w:basedOn w:val="724"/>
    <w:next w:val="967"/>
    <w:link w:val="982"/>
    <w:uiPriority w:val="0"/>
    <w:unhideWhenUsed/>
    <w:qFormat/>
    <w:rPr>
      <w:rFonts w:ascii="宋体" w:hAnsi="Courier New"/>
    </w:rPr>
  </w:style>
  <w:style w:type="character" w:styleId="982" w:customStyle="1">
    <w:name w:val="纯文本 Char"/>
    <w:link w:val="981"/>
    <w:uiPriority w:val="0"/>
    <w:qFormat/>
    <w:rPr>
      <w:rFonts w:ascii="宋体" w:hAnsi="Courier New" w:eastAsia="楷体_GB2312"/>
      <w:sz w:val="26"/>
    </w:rPr>
  </w:style>
  <w:style w:type="paragraph" w:styleId="983" w:customStyle="1">
    <w:name w:val="日期1"/>
    <w:basedOn w:val="724"/>
    <w:next w:val="724"/>
    <w:link w:val="984"/>
    <w:uiPriority w:val="0"/>
    <w:unhideWhenUsed/>
    <w:qFormat/>
    <w:rPr>
      <w:rFonts w:ascii="宋体" w:hAnsi="宋体"/>
      <w:sz w:val="24"/>
    </w:rPr>
  </w:style>
  <w:style w:type="character" w:styleId="984" w:customStyle="1">
    <w:name w:val="日期 Char"/>
    <w:link w:val="983"/>
    <w:uiPriority w:val="0"/>
    <w:qFormat/>
    <w:rPr>
      <w:rFonts w:ascii="宋体" w:hAnsi="宋体" w:eastAsia="楷体_GB2312"/>
      <w:sz w:val="24"/>
    </w:rPr>
  </w:style>
  <w:style w:type="paragraph" w:styleId="985" w:customStyle="1">
    <w:name w:val="正文文本缩进 21"/>
    <w:basedOn w:val="724"/>
    <w:link w:val="986"/>
    <w:uiPriority w:val="0"/>
    <w:unhideWhenUsed/>
    <w:qFormat/>
    <w:pPr>
      <w:ind w:left="420"/>
      <w:spacing w:after="120" w:line="480" w:lineRule="auto"/>
    </w:pPr>
  </w:style>
  <w:style w:type="character" w:styleId="986" w:customStyle="1">
    <w:name w:val="正文文本缩进 2 Char"/>
    <w:link w:val="985"/>
    <w:uiPriority w:val="0"/>
    <w:qFormat/>
    <w:rPr>
      <w:rFonts w:eastAsia="楷体_GB2312"/>
      <w:sz w:val="26"/>
    </w:rPr>
  </w:style>
  <w:style w:type="paragraph" w:styleId="987" w:customStyle="1">
    <w:name w:val="尾注文本1"/>
    <w:basedOn w:val="724"/>
    <w:link w:val="988"/>
    <w:uiPriority w:val="0"/>
    <w:unhideWhenUsed/>
    <w:qFormat/>
    <w:pPr>
      <w:jc w:val="left"/>
    </w:pPr>
    <w:rPr>
      <w:rFonts w:ascii="宋体" w:hAnsi="宋体" w:eastAsia="宋体"/>
      <w:sz w:val="21"/>
      <w:szCs w:val="24"/>
    </w:rPr>
  </w:style>
  <w:style w:type="character" w:styleId="988" w:customStyle="1">
    <w:name w:val="尾注文本 Char"/>
    <w:link w:val="987"/>
    <w:uiPriority w:val="0"/>
    <w:qFormat/>
    <w:rPr>
      <w:rFonts w:ascii="宋体" w:hAnsi="宋体"/>
      <w:sz w:val="21"/>
      <w:szCs w:val="24"/>
    </w:rPr>
  </w:style>
  <w:style w:type="paragraph" w:styleId="989" w:customStyle="1">
    <w:name w:val="批注框文本1"/>
    <w:basedOn w:val="724"/>
    <w:link w:val="990"/>
    <w:uiPriority w:val="0"/>
    <w:qFormat/>
    <w:rPr>
      <w:sz w:val="18"/>
      <w:szCs w:val="18"/>
    </w:rPr>
  </w:style>
  <w:style w:type="character" w:styleId="990" w:customStyle="1">
    <w:name w:val="批注框文本 Char"/>
    <w:link w:val="989"/>
    <w:uiPriority w:val="0"/>
    <w:qFormat/>
    <w:rPr>
      <w:rFonts w:eastAsia="楷体_GB2312"/>
      <w:sz w:val="18"/>
      <w:szCs w:val="18"/>
    </w:rPr>
  </w:style>
  <w:style w:type="paragraph" w:styleId="991" w:customStyle="1">
    <w:name w:val="页脚1"/>
    <w:basedOn w:val="724"/>
    <w:link w:val="992"/>
    <w:uiPriority w:val="0"/>
    <w:unhideWhenUsed/>
    <w:qFormat/>
    <w:pPr>
      <w:jc w:val="left"/>
      <w:tabs>
        <w:tab w:val="center" w:pos="4153" w:leader="none"/>
        <w:tab w:val="right" w:pos="8306" w:leader="none"/>
      </w:tabs>
    </w:pPr>
    <w:rPr>
      <w:sz w:val="18"/>
    </w:rPr>
  </w:style>
  <w:style w:type="character" w:styleId="992" w:customStyle="1">
    <w:name w:val="页脚 Char"/>
    <w:link w:val="991"/>
    <w:uiPriority w:val="0"/>
    <w:qFormat/>
    <w:rPr>
      <w:rFonts w:eastAsia="楷体_GB2312"/>
      <w:sz w:val="18"/>
    </w:rPr>
  </w:style>
  <w:style w:type="paragraph" w:styleId="993" w:customStyle="1">
    <w:name w:val="寄信人地址1"/>
    <w:basedOn w:val="724"/>
    <w:uiPriority w:val="99"/>
    <w:unhideWhenUsed/>
    <w:qFormat/>
    <w:rPr>
      <w:rFonts w:ascii="Arial" w:hAnsi="Arial"/>
    </w:rPr>
  </w:style>
  <w:style w:type="paragraph" w:styleId="994" w:customStyle="1">
    <w:name w:val="页眉1"/>
    <w:basedOn w:val="724"/>
    <w:link w:val="995"/>
    <w:uiPriority w:val="0"/>
    <w:unhideWhenUsed/>
    <w:qFormat/>
    <w:pPr>
      <w:jc w:val="center"/>
      <w:tabs>
        <w:tab w:val="center" w:pos="4153" w:leader="none"/>
        <w:tab w:val="right" w:pos="8306" w:leader="none"/>
      </w:tabs>
      <w:pBdr>
        <w:bottom w:val="single" w:color="000000" w:sz="6" w:space="1"/>
      </w:pBdr>
    </w:pPr>
    <w:rPr>
      <w:sz w:val="18"/>
    </w:rPr>
  </w:style>
  <w:style w:type="character" w:styleId="995" w:customStyle="1">
    <w:name w:val="页眉 Char"/>
    <w:link w:val="994"/>
    <w:uiPriority w:val="0"/>
    <w:qFormat/>
    <w:rPr>
      <w:rFonts w:eastAsia="楷体_GB2312"/>
      <w:sz w:val="18"/>
    </w:rPr>
  </w:style>
  <w:style w:type="paragraph" w:styleId="996" w:customStyle="1">
    <w:name w:val="目录 11"/>
    <w:basedOn w:val="724"/>
    <w:next w:val="724"/>
    <w:uiPriority w:val="0"/>
    <w:unhideWhenUsed/>
    <w:qFormat/>
    <w:pPr>
      <w:jc w:val="left"/>
    </w:pPr>
    <w:rPr>
      <w:sz w:val="24"/>
    </w:rPr>
  </w:style>
  <w:style w:type="paragraph" w:styleId="997" w:customStyle="1">
    <w:name w:val="副标题1"/>
    <w:basedOn w:val="724"/>
    <w:link w:val="998"/>
    <w:uiPriority w:val="0"/>
    <w:qFormat/>
    <w:pPr>
      <w:jc w:val="center"/>
      <w:spacing w:before="240" w:after="60" w:line="312" w:lineRule="auto"/>
      <w:outlineLvl w:val="1"/>
    </w:pPr>
    <w:rPr>
      <w:rFonts w:ascii="Arial" w:hAnsi="Arial" w:eastAsia="宋体"/>
      <w:b/>
      <w:bCs/>
      <w:sz w:val="32"/>
      <w:szCs w:val="32"/>
    </w:rPr>
  </w:style>
  <w:style w:type="character" w:styleId="998" w:customStyle="1">
    <w:name w:val="副标题 Char"/>
    <w:link w:val="997"/>
    <w:uiPriority w:val="0"/>
    <w:qFormat/>
    <w:rPr>
      <w:rFonts w:ascii="Arial" w:hAnsi="Arial" w:cs="Arial"/>
      <w:b/>
      <w:bCs/>
      <w:sz w:val="32"/>
      <w:szCs w:val="32"/>
    </w:rPr>
  </w:style>
  <w:style w:type="paragraph" w:styleId="999" w:customStyle="1">
    <w:name w:val="目录 21"/>
    <w:basedOn w:val="724"/>
    <w:next w:val="724"/>
    <w:uiPriority w:val="0"/>
    <w:unhideWhenUsed/>
    <w:qFormat/>
    <w:pPr>
      <w:ind w:left="420"/>
    </w:pPr>
  </w:style>
  <w:style w:type="paragraph" w:styleId="1000" w:customStyle="1">
    <w:name w:val="目录 91"/>
    <w:basedOn w:val="724"/>
    <w:next w:val="724"/>
    <w:uiPriority w:val="0"/>
    <w:semiHidden/>
    <w:qFormat/>
    <w:pPr>
      <w:ind w:left="3360"/>
    </w:pPr>
  </w:style>
  <w:style w:type="paragraph" w:styleId="1001" w:customStyle="1">
    <w:name w:val="普通(网站)1"/>
    <w:basedOn w:val="724"/>
    <w:uiPriority w:val="0"/>
    <w:unhideWhenUsed/>
    <w:qFormat/>
    <w:pPr>
      <w:jc w:val="left"/>
      <w:spacing w:before="100" w:beforeAutospacing="1" w:after="100" w:afterAutospacing="1"/>
      <w:widowControl/>
    </w:pPr>
    <w:rPr>
      <w:rFonts w:ascii="宋体" w:hAnsi="宋体" w:cs="宋体"/>
      <w:sz w:val="24"/>
    </w:rPr>
  </w:style>
  <w:style w:type="paragraph" w:styleId="1002" w:customStyle="1">
    <w:name w:val="索引 11"/>
    <w:basedOn w:val="724"/>
    <w:next w:val="724"/>
    <w:uiPriority w:val="0"/>
    <w:unhideWhenUsed/>
    <w:qFormat/>
    <w:pPr>
      <w:jc w:val="center"/>
      <w:spacing w:line="220" w:lineRule="exact"/>
    </w:pPr>
    <w:rPr>
      <w:rFonts w:ascii="仿宋_GB2312" w:eastAsia="仿宋_GB2312"/>
      <w:szCs w:val="21"/>
    </w:rPr>
  </w:style>
  <w:style w:type="paragraph" w:styleId="1003" w:customStyle="1">
    <w:name w:val="标题1"/>
    <w:basedOn w:val="724"/>
    <w:link w:val="1004"/>
    <w:uiPriority w:val="10"/>
    <w:qFormat/>
    <w:pPr>
      <w:jc w:val="center"/>
      <w:spacing w:before="240" w:after="60"/>
      <w:outlineLvl w:val="0"/>
    </w:pPr>
    <w:rPr>
      <w:rFonts w:ascii="Arial" w:hAnsi="Arial" w:eastAsia="宋体"/>
      <w:b/>
      <w:bCs/>
      <w:sz w:val="32"/>
      <w:szCs w:val="32"/>
    </w:rPr>
  </w:style>
  <w:style w:type="character" w:styleId="1004" w:customStyle="1">
    <w:name w:val="标题 Char"/>
    <w:link w:val="1003"/>
    <w:uiPriority w:val="10"/>
    <w:qFormat/>
    <w:rPr>
      <w:rFonts w:ascii="Arial" w:hAnsi="Arial"/>
      <w:b/>
      <w:bCs/>
      <w:sz w:val="32"/>
      <w:szCs w:val="32"/>
    </w:rPr>
  </w:style>
  <w:style w:type="paragraph" w:styleId="1005" w:customStyle="1">
    <w:name w:val="批注主题1"/>
    <w:basedOn w:val="971"/>
    <w:next w:val="971"/>
    <w:link w:val="1006"/>
    <w:uiPriority w:val="99"/>
    <w:qFormat/>
    <w:rPr>
      <w:b/>
      <w:bCs/>
    </w:rPr>
  </w:style>
  <w:style w:type="character" w:styleId="1006" w:customStyle="1">
    <w:name w:val="批注主题 Char"/>
    <w:link w:val="1005"/>
    <w:uiPriority w:val="99"/>
    <w:qFormat/>
    <w:rPr>
      <w:b/>
      <w:bCs/>
    </w:rPr>
  </w:style>
  <w:style w:type="paragraph" w:styleId="1007" w:customStyle="1">
    <w:name w:val="正文首行缩进1"/>
    <w:basedOn w:val="975"/>
    <w:link w:val="1008"/>
    <w:uiPriority w:val="0"/>
    <w:unhideWhenUsed/>
    <w:qFormat/>
    <w:pPr>
      <w:ind w:firstLine="420"/>
      <w:spacing w:after="120"/>
    </w:pPr>
    <w:rPr>
      <w:rFonts w:ascii="Times New Roman" w:eastAsia="宋体"/>
      <w:b w:val="0"/>
      <w:bCs w:val="0"/>
      <w:sz w:val="21"/>
      <w:szCs w:val="24"/>
    </w:rPr>
  </w:style>
  <w:style w:type="character" w:styleId="1008" w:customStyle="1">
    <w:name w:val="正文首行缩进 Char"/>
    <w:link w:val="1007"/>
    <w:uiPriority w:val="0"/>
    <w:qFormat/>
  </w:style>
  <w:style w:type="character" w:styleId="1009" w:customStyle="1">
    <w:name w:val="正文文本 Char"/>
    <w:uiPriority w:val="0"/>
    <w:qFormat/>
    <w:rPr>
      <w:sz w:val="21"/>
      <w:szCs w:val="24"/>
    </w:rPr>
  </w:style>
  <w:style w:type="paragraph" w:styleId="1010" w:customStyle="1">
    <w:name w:val="正文首行缩进 21"/>
    <w:basedOn w:val="977"/>
    <w:uiPriority w:val="99"/>
    <w:unhideWhenUsed/>
    <w:qFormat/>
    <w:pPr>
      <w:ind w:firstLine="420"/>
    </w:pPr>
  </w:style>
  <w:style w:type="table" w:styleId="1011" w:customStyle="1">
    <w:name w:val="网格型1"/>
    <w:basedOn w:val="960"/>
    <w:uiPriority w:val="0"/>
    <w:unhideWhenUsed/>
    <w:qFormat/>
    <w:pPr>
      <w:jc w:val="both"/>
      <w:widowControl w:val="off"/>
    </w:pPr>
    <w:tblPr/>
  </w:style>
  <w:style w:type="character" w:styleId="1012" w:customStyle="1">
    <w:name w:val="要点1"/>
    <w:uiPriority w:val="0"/>
    <w:qFormat/>
    <w:rPr>
      <w:b/>
      <w:bCs/>
    </w:rPr>
  </w:style>
  <w:style w:type="character" w:styleId="1013" w:customStyle="1">
    <w:name w:val="页码1"/>
    <w:uiPriority w:val="0"/>
    <w:unhideWhenUsed/>
    <w:qFormat/>
  </w:style>
  <w:style w:type="character" w:styleId="1014" w:customStyle="1">
    <w:name w:val="访问过的超链接1"/>
    <w:uiPriority w:val="0"/>
    <w:qFormat/>
    <w:rPr>
      <w:rFonts w:ascii="微软雅黑" w:hAnsi="微软雅黑" w:eastAsia="微软雅黑" w:cs="微软雅黑"/>
      <w:color w:val="3d3d3d"/>
      <w:u w:val="none"/>
    </w:rPr>
  </w:style>
  <w:style w:type="character" w:styleId="1015" w:customStyle="1">
    <w:name w:val="超链接1"/>
    <w:uiPriority w:val="99"/>
    <w:unhideWhenUsed/>
    <w:qFormat/>
    <w:rPr>
      <w:rFonts w:hint="eastAsia" w:ascii="微软雅黑" w:hAnsi="微软雅黑" w:eastAsia="微软雅黑" w:cs="微软雅黑"/>
      <w:color w:val="3d3d3d"/>
      <w:u w:val="none"/>
    </w:rPr>
  </w:style>
  <w:style w:type="character" w:styleId="1016" w:customStyle="1">
    <w:name w:val="批注引用1"/>
    <w:uiPriority w:val="0"/>
    <w:qFormat/>
    <w:rPr>
      <w:sz w:val="21"/>
      <w:szCs w:val="21"/>
    </w:rPr>
  </w:style>
  <w:style w:type="character" w:styleId="1017" w:customStyle="1">
    <w:name w:val="font11"/>
    <w:uiPriority w:val="0"/>
    <w:qFormat/>
    <w:rPr>
      <w:rFonts w:hint="eastAsia" w:ascii="宋体" w:hAnsi="宋体" w:eastAsia="宋体" w:cs="宋体"/>
      <w:color w:val="000000"/>
      <w:sz w:val="20"/>
      <w:szCs w:val="20"/>
      <w:u w:val="none"/>
    </w:rPr>
  </w:style>
  <w:style w:type="character" w:styleId="1018" w:customStyle="1">
    <w:name w:val="z-窗体底端 Char"/>
    <w:link w:val="1019"/>
    <w:uiPriority w:val="0"/>
    <w:qFormat/>
    <w:rPr>
      <w:rFonts w:ascii="Arial" w:hAnsi="Arial" w:cs="Arial"/>
      <w:vanish/>
      <w:sz w:val="16"/>
      <w:szCs w:val="16"/>
    </w:rPr>
  </w:style>
  <w:style w:type="paragraph" w:styleId="1019" w:customStyle="1">
    <w:name w:val="z-窗体底端1"/>
    <w:basedOn w:val="724"/>
    <w:next w:val="724"/>
    <w:link w:val="1018"/>
    <w:uiPriority w:val="0"/>
    <w:unhideWhenUsed/>
    <w:qFormat/>
    <w:pPr>
      <w:jc w:val="center"/>
      <w:pBdr>
        <w:top w:val="single" w:color="000000" w:sz="6" w:space="1"/>
      </w:pBdr>
    </w:pPr>
    <w:rPr>
      <w:rFonts w:ascii="Arial" w:hAnsi="Arial" w:eastAsia="宋体" w:cs="Arial"/>
      <w:vanish/>
      <w:sz w:val="16"/>
      <w:szCs w:val="16"/>
    </w:rPr>
  </w:style>
  <w:style w:type="character" w:styleId="1020" w:customStyle="1">
    <w:name w:val="Char Char Char"/>
    <w:uiPriority w:val="0"/>
    <w:qFormat/>
    <w:rPr>
      <w:rFonts w:hint="eastAsia" w:ascii="黑体" w:hAnsi="黑体" w:eastAsia="黑体"/>
      <w:bCs/>
      <w:sz w:val="28"/>
      <w:szCs w:val="32"/>
      <w:lang w:val="en-US" w:eastAsia="zh-CN" w:bidi="ar-SA"/>
    </w:rPr>
  </w:style>
  <w:style w:type="character" w:styleId="1021" w:customStyle="1">
    <w:name w:val="尾注文本 Char1"/>
    <w:uiPriority w:val="99"/>
    <w:semiHidden/>
    <w:qFormat/>
    <w:rPr>
      <w:rFonts w:eastAsia="楷体_GB2312"/>
      <w:sz w:val="26"/>
    </w:rPr>
  </w:style>
  <w:style w:type="character" w:styleId="1022" w:customStyle="1">
    <w:name w:val="font01"/>
    <w:uiPriority w:val="0"/>
    <w:qFormat/>
    <w:rPr>
      <w:rFonts w:ascii="Calibri" w:hAnsi="Calibri" w:cs="Calibri"/>
      <w:color w:val="000000"/>
      <w:sz w:val="20"/>
      <w:szCs w:val="20"/>
      <w:u w:val="none"/>
    </w:rPr>
  </w:style>
  <w:style w:type="character" w:styleId="1023" w:customStyle="1">
    <w:name w:val="纯文本 Char Char"/>
    <w:uiPriority w:val="0"/>
    <w:qFormat/>
    <w:rPr>
      <w:rFonts w:ascii="宋体" w:hAnsi="Courier New" w:eastAsia="宋体" w:cs="Courier New"/>
      <w:sz w:val="21"/>
      <w:szCs w:val="21"/>
      <w:lang w:val="en-US" w:eastAsia="zh-CN" w:bidi="ar-SA"/>
    </w:rPr>
  </w:style>
  <w:style w:type="character" w:styleId="1024" w:customStyle="1">
    <w:name w:val="Plain Text Char Char"/>
    <w:link w:val="1025"/>
    <w:uiPriority w:val="0"/>
    <w:qFormat/>
    <w:rPr>
      <w:rFonts w:ascii="宋体" w:hAnsi="Courier New" w:eastAsia="楷体_GB2312"/>
      <w:sz w:val="26"/>
      <w:lang w:val="en-US" w:eastAsia="zh-CN" w:bidi="ar-SA"/>
    </w:rPr>
  </w:style>
  <w:style w:type="paragraph" w:styleId="1025" w:customStyle="1">
    <w:name w:val="纯文本1"/>
    <w:basedOn w:val="724"/>
    <w:link w:val="1024"/>
    <w:uiPriority w:val="0"/>
    <w:qFormat/>
    <w:rPr>
      <w:rFonts w:ascii="宋体" w:hAnsi="Courier New"/>
    </w:rPr>
  </w:style>
  <w:style w:type="character" w:styleId="1026" w:customStyle="1">
    <w:name w:val="样式 粉红"/>
    <w:uiPriority w:val="0"/>
    <w:qFormat/>
    <w:rPr>
      <w:color w:val="000000"/>
      <w:u w:val="none"/>
    </w:rPr>
  </w:style>
  <w:style w:type="character" w:styleId="1027" w:customStyle="1">
    <w:name w:val="Char Char5"/>
    <w:uiPriority w:val="0"/>
    <w:qFormat/>
    <w:rPr>
      <w:rFonts w:hint="eastAsia" w:ascii="黑体" w:hAnsi="黑体" w:eastAsia="黑体"/>
      <w:b/>
      <w:bCs/>
      <w:sz w:val="72"/>
      <w:szCs w:val="44"/>
      <w:lang w:val="en-US" w:eastAsia="zh-CN" w:bidi="ar-SA"/>
    </w:rPr>
  </w:style>
  <w:style w:type="character" w:styleId="1028" w:customStyle="1">
    <w:name w:val="文档结构图 Char1"/>
    <w:uiPriority w:val="99"/>
    <w:semiHidden/>
    <w:qFormat/>
    <w:rPr>
      <w:rFonts w:ascii="宋体"/>
      <w:sz w:val="18"/>
      <w:szCs w:val="18"/>
    </w:rPr>
  </w:style>
  <w:style w:type="character" w:styleId="1029" w:customStyle="1">
    <w:name w:val="font112"/>
    <w:uiPriority w:val="0"/>
    <w:qFormat/>
    <w:rPr>
      <w:rFonts w:hint="eastAsia" w:ascii="宋体" w:hAnsi="宋体" w:eastAsia="宋体" w:cs="宋体"/>
      <w:color w:val="000000"/>
      <w:sz w:val="20"/>
      <w:szCs w:val="20"/>
      <w:u w:val="none"/>
    </w:rPr>
  </w:style>
  <w:style w:type="character" w:styleId="1030" w:customStyle="1">
    <w:name w:val="Char Char1"/>
    <w:uiPriority w:val="0"/>
    <w:qFormat/>
    <w:rPr>
      <w:rFonts w:ascii="Arial" w:hAnsi="Arial" w:eastAsia="黑体"/>
      <w:b/>
      <w:bCs/>
      <w:sz w:val="32"/>
      <w:szCs w:val="32"/>
      <w:lang w:val="en-US" w:eastAsia="zh-CN" w:bidi="ar-SA"/>
    </w:rPr>
  </w:style>
  <w:style w:type="character" w:styleId="1031" w:customStyle="1">
    <w:name w:val="z-窗体顶端 Char1"/>
    <w:link w:val="1032"/>
    <w:uiPriority w:val="0"/>
    <w:qFormat/>
    <w:rPr>
      <w:rFonts w:ascii="Arial" w:hAnsi="Arial" w:cs="Arial"/>
      <w:vanish/>
      <w:sz w:val="16"/>
      <w:szCs w:val="16"/>
    </w:rPr>
  </w:style>
  <w:style w:type="paragraph" w:styleId="1032" w:customStyle="1">
    <w:name w:val="z-窗体顶端1"/>
    <w:basedOn w:val="724"/>
    <w:next w:val="724"/>
    <w:link w:val="1031"/>
    <w:uiPriority w:val="0"/>
    <w:qFormat/>
    <w:pPr>
      <w:jc w:val="center"/>
      <w:pBdr>
        <w:bottom w:val="single" w:color="000000" w:sz="6" w:space="1"/>
      </w:pBdr>
    </w:pPr>
    <w:rPr>
      <w:rFonts w:ascii="Arial" w:hAnsi="Arial" w:eastAsia="宋体" w:cs="Arial"/>
      <w:vanish/>
      <w:sz w:val="16"/>
      <w:szCs w:val="16"/>
    </w:rPr>
  </w:style>
  <w:style w:type="character" w:styleId="1033" w:customStyle="1">
    <w:name w:val="grame"/>
    <w:uiPriority w:val="0"/>
    <w:qFormat/>
  </w:style>
  <w:style w:type="character" w:styleId="1034" w:customStyle="1">
    <w:name w:val="Heading #1|1_"/>
    <w:link w:val="1035"/>
    <w:uiPriority w:val="0"/>
    <w:qFormat/>
    <w:rPr>
      <w:rFonts w:ascii="宋体" w:hAnsi="宋体" w:eastAsia="宋体" w:cs="宋体"/>
      <w:color w:val="fc5c77"/>
      <w:sz w:val="138"/>
      <w:szCs w:val="138"/>
      <w:lang w:val="zh-TW" w:eastAsia="zh-TW" w:bidi="zh-TW"/>
    </w:rPr>
  </w:style>
  <w:style w:type="paragraph" w:styleId="1035" w:customStyle="1">
    <w:name w:val="Heading #1|1"/>
    <w:basedOn w:val="724"/>
    <w:link w:val="1034"/>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36" w:customStyle="1">
    <w:name w:val="font21"/>
    <w:uiPriority w:val="0"/>
    <w:qFormat/>
    <w:rPr>
      <w:rFonts w:hint="eastAsia" w:ascii="宋体" w:hAnsi="宋体" w:eastAsia="宋体" w:cs="宋体"/>
      <w:color w:val="000000"/>
      <w:sz w:val="20"/>
      <w:szCs w:val="20"/>
      <w:u w:val="none"/>
    </w:rPr>
  </w:style>
  <w:style w:type="character" w:styleId="1037" w:customStyle="1">
    <w:name w:val="z-窗体顶端 Char"/>
    <w:link w:val="1038"/>
    <w:uiPriority w:val="0"/>
    <w:qFormat/>
    <w:rPr>
      <w:rFonts w:ascii="Arial" w:hAnsi="Arial" w:cs="Arial"/>
      <w:vanish/>
      <w:sz w:val="16"/>
      <w:szCs w:val="16"/>
    </w:rPr>
  </w:style>
  <w:style w:type="paragraph" w:styleId="1038" w:customStyle="1">
    <w:name w:val="z-窗体顶端11"/>
    <w:basedOn w:val="724"/>
    <w:next w:val="724"/>
    <w:link w:val="1037"/>
    <w:uiPriority w:val="0"/>
    <w:unhideWhenUsed/>
    <w:qFormat/>
    <w:pPr>
      <w:jc w:val="center"/>
      <w:pBdr>
        <w:bottom w:val="single" w:color="000000" w:sz="6" w:space="1"/>
      </w:pBdr>
    </w:pPr>
    <w:rPr>
      <w:rFonts w:ascii="Arial" w:hAnsi="Arial" w:eastAsia="宋体" w:cs="Arial"/>
      <w:vanish/>
      <w:sz w:val="16"/>
      <w:szCs w:val="16"/>
    </w:rPr>
  </w:style>
  <w:style w:type="character" w:styleId="1039" w:customStyle="1">
    <w:name w:val="标题 Char1"/>
    <w:uiPriority w:val="10"/>
    <w:qFormat/>
    <w:rPr>
      <w:rFonts w:ascii="Cambria" w:hAnsi="Cambria" w:cs="Times New Roman"/>
      <w:b/>
      <w:bCs/>
      <w:sz w:val="32"/>
      <w:szCs w:val="32"/>
    </w:rPr>
  </w:style>
  <w:style w:type="character" w:styleId="1040" w:customStyle="1">
    <w:name w:val="Char Char3"/>
    <w:uiPriority w:val="0"/>
    <w:qFormat/>
    <w:rPr>
      <w:b/>
      <w:bCs/>
      <w:sz w:val="32"/>
      <w:szCs w:val="32"/>
    </w:rPr>
  </w:style>
  <w:style w:type="character" w:styleId="1041" w:customStyle="1">
    <w:name w:val="Blockquote Char Char"/>
    <w:link w:val="1042"/>
    <w:uiPriority w:val="0"/>
    <w:qFormat/>
    <w:rPr>
      <w:rFonts w:cs="宋体"/>
      <w:sz w:val="24"/>
      <w:szCs w:val="24"/>
    </w:rPr>
  </w:style>
  <w:style w:type="paragraph" w:styleId="1042" w:customStyle="1">
    <w:name w:val="Blockquote"/>
    <w:basedOn w:val="724"/>
    <w:link w:val="1041"/>
    <w:uiPriority w:val="0"/>
    <w:qFormat/>
    <w:pPr>
      <w:ind w:left="360" w:right="360"/>
      <w:jc w:val="left"/>
      <w:spacing w:before="100" w:after="100"/>
    </w:pPr>
    <w:rPr>
      <w:rFonts w:eastAsia="宋体" w:cs="宋体"/>
      <w:sz w:val="24"/>
      <w:szCs w:val="24"/>
    </w:rPr>
  </w:style>
  <w:style w:type="character" w:styleId="1043" w:customStyle="1">
    <w:name w:val="Char Char4"/>
    <w:uiPriority w:val="0"/>
    <w:qFormat/>
    <w:rPr>
      <w:rFonts w:ascii="Arial" w:hAnsi="Arial" w:eastAsia="黑体" w:cs="Arial"/>
      <w:bCs/>
      <w:sz w:val="24"/>
      <w:szCs w:val="28"/>
      <w:lang w:val="en-US" w:eastAsia="zh-CN" w:bidi="ar-SA"/>
    </w:rPr>
  </w:style>
  <w:style w:type="character" w:styleId="1044" w:customStyle="1">
    <w:name w:val="Other|1_"/>
    <w:link w:val="1045"/>
    <w:uiPriority w:val="0"/>
    <w:qFormat/>
    <w:rPr>
      <w:rFonts w:ascii="宋体" w:hAnsi="宋体" w:eastAsia="宋体" w:cs="宋体"/>
      <w:color w:val="4e4a50"/>
      <w:lang w:val="zh-TW" w:eastAsia="zh-TW" w:bidi="zh-TW"/>
    </w:rPr>
  </w:style>
  <w:style w:type="paragraph" w:styleId="1045" w:customStyle="1">
    <w:name w:val="Other|1"/>
    <w:basedOn w:val="724"/>
    <w:link w:val="1044"/>
    <w:uiPriority w:val="0"/>
    <w:qFormat/>
    <w:pPr>
      <w:jc w:val="center"/>
      <w:spacing w:line="308" w:lineRule="exact"/>
    </w:pPr>
    <w:rPr>
      <w:rFonts w:ascii="宋体" w:hAnsi="宋体" w:eastAsia="宋体" w:cs="宋体"/>
      <w:color w:val="4e4a50"/>
      <w:sz w:val="20"/>
      <w:lang w:val="zh-TW" w:eastAsia="zh-TW" w:bidi="zh-TW"/>
    </w:rPr>
  </w:style>
  <w:style w:type="character" w:styleId="1046" w:customStyle="1">
    <w:name w:val="z-窗体底端 Char2"/>
    <w:uiPriority w:val="99"/>
    <w:semiHidden/>
    <w:qFormat/>
    <w:rPr>
      <w:rFonts w:ascii="Arial" w:hAnsi="Arial" w:eastAsia="楷体_GB2312" w:cs="Arial"/>
      <w:vanish/>
      <w:sz w:val="16"/>
      <w:szCs w:val="16"/>
    </w:rPr>
  </w:style>
  <w:style w:type="character" w:styleId="1047" w:customStyle="1">
    <w:name w:val="font61"/>
    <w:uiPriority w:val="0"/>
    <w:qFormat/>
    <w:rPr>
      <w:rFonts w:ascii="Calibri" w:hAnsi="Calibri" w:cs="Calibri"/>
      <w:color w:val="000000"/>
      <w:sz w:val="20"/>
      <w:szCs w:val="20"/>
      <w:u w:val="none"/>
    </w:rPr>
  </w:style>
  <w:style w:type="character" w:styleId="1048" w:customStyle="1">
    <w:name w:val="Body text|3_"/>
    <w:link w:val="1049"/>
    <w:uiPriority w:val="0"/>
    <w:qFormat/>
    <w:rPr>
      <w:color w:val="5c575b"/>
      <w:sz w:val="26"/>
      <w:szCs w:val="26"/>
      <w:lang w:val="zh-TW" w:eastAsia="zh-TW" w:bidi="zh-TW"/>
    </w:rPr>
  </w:style>
  <w:style w:type="paragraph" w:styleId="1049" w:customStyle="1">
    <w:name w:val="Body text|3"/>
    <w:basedOn w:val="724"/>
    <w:link w:val="1048"/>
    <w:uiPriority w:val="0"/>
    <w:qFormat/>
    <w:pPr>
      <w:jc w:val="left"/>
    </w:pPr>
    <w:rPr>
      <w:rFonts w:eastAsia="宋体"/>
      <w:color w:val="5c575b"/>
      <w:szCs w:val="26"/>
      <w:lang w:val="zh-TW" w:eastAsia="zh-TW" w:bidi="zh-TW"/>
    </w:rPr>
  </w:style>
  <w:style w:type="character" w:styleId="1050" w:customStyle="1">
    <w:name w:val="Char Char2"/>
    <w:uiPriority w:val="0"/>
    <w:qFormat/>
    <w:rPr>
      <w:rFonts w:ascii="Arial" w:hAnsi="Arial" w:eastAsia="黑体" w:cs="Arial"/>
      <w:b/>
      <w:bCs/>
      <w:sz w:val="32"/>
      <w:szCs w:val="32"/>
      <w:lang w:val="en-US" w:eastAsia="zh-CN" w:bidi="ar-SA"/>
    </w:rPr>
  </w:style>
  <w:style w:type="character" w:styleId="1051" w:customStyle="1">
    <w:name w:val="z-窗体顶端 Char2"/>
    <w:uiPriority w:val="99"/>
    <w:semiHidden/>
    <w:qFormat/>
    <w:rPr>
      <w:rFonts w:ascii="Arial" w:hAnsi="Arial" w:eastAsia="楷体_GB2312" w:cs="Arial"/>
      <w:vanish/>
      <w:sz w:val="16"/>
      <w:szCs w:val="16"/>
    </w:rPr>
  </w:style>
  <w:style w:type="character" w:styleId="1052" w:customStyle="1">
    <w:name w:val="Header or footer|2_"/>
    <w:link w:val="1053"/>
    <w:uiPriority w:val="0"/>
    <w:qFormat/>
    <w:rPr>
      <w:lang w:val="zh-TW" w:eastAsia="zh-TW" w:bidi="zh-TW"/>
    </w:rPr>
  </w:style>
  <w:style w:type="paragraph" w:styleId="1053" w:customStyle="1">
    <w:name w:val="Header or footer|2"/>
    <w:basedOn w:val="724"/>
    <w:link w:val="1052"/>
    <w:uiPriority w:val="0"/>
    <w:qFormat/>
    <w:pPr>
      <w:jc w:val="left"/>
    </w:pPr>
    <w:rPr>
      <w:rFonts w:eastAsia="宋体"/>
      <w:sz w:val="20"/>
      <w:lang w:val="zh-TW" w:eastAsia="zh-TW" w:bidi="zh-TW"/>
    </w:rPr>
  </w:style>
  <w:style w:type="character" w:styleId="1054" w:customStyle="1">
    <w:name w:val="正文首行缩进 Char1"/>
    <w:uiPriority w:val="0"/>
    <w:qFormat/>
  </w:style>
  <w:style w:type="character" w:styleId="1055" w:customStyle="1">
    <w:name w:val="Body text|1_"/>
    <w:link w:val="1056"/>
    <w:uiPriority w:val="0"/>
    <w:qFormat/>
    <w:rPr>
      <w:rFonts w:ascii="宋体" w:hAnsi="宋体" w:eastAsia="宋体" w:cs="宋体"/>
      <w:color w:val="4e4a50"/>
      <w:sz w:val="26"/>
      <w:szCs w:val="26"/>
      <w:lang w:val="zh-TW" w:eastAsia="zh-TW" w:bidi="zh-TW"/>
    </w:rPr>
  </w:style>
  <w:style w:type="paragraph" w:styleId="1056" w:customStyle="1">
    <w:name w:val="Body text|1"/>
    <w:basedOn w:val="724"/>
    <w:link w:val="1055"/>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057" w:customStyle="1">
    <w:name w:val="Picture caption|1_"/>
    <w:link w:val="1058"/>
    <w:uiPriority w:val="0"/>
    <w:qFormat/>
    <w:rPr>
      <w:rFonts w:ascii="宋体" w:hAnsi="宋体" w:eastAsia="宋体" w:cs="宋体"/>
      <w:color w:val="4e4a50"/>
      <w:sz w:val="26"/>
      <w:szCs w:val="26"/>
      <w:lang w:val="zh-TW" w:eastAsia="zh-TW" w:bidi="zh-TW"/>
    </w:rPr>
  </w:style>
  <w:style w:type="paragraph" w:styleId="1058" w:customStyle="1">
    <w:name w:val="Picture caption|1"/>
    <w:basedOn w:val="724"/>
    <w:link w:val="1057"/>
    <w:uiPriority w:val="0"/>
    <w:qFormat/>
    <w:pPr>
      <w:jc w:val="left"/>
    </w:pPr>
    <w:rPr>
      <w:rFonts w:ascii="宋体" w:hAnsi="宋体" w:eastAsia="宋体" w:cs="宋体"/>
      <w:color w:val="4e4a50"/>
      <w:szCs w:val="26"/>
      <w:lang w:val="zh-TW" w:eastAsia="zh-TW" w:bidi="zh-TW"/>
    </w:rPr>
  </w:style>
  <w:style w:type="character" w:styleId="1059" w:customStyle="1">
    <w:name w:val="Char Char"/>
    <w:uiPriority w:val="0"/>
    <w:qFormat/>
    <w:rPr>
      <w:rFonts w:eastAsia="黑体"/>
      <w:bCs/>
      <w:sz w:val="28"/>
      <w:szCs w:val="32"/>
      <w:lang w:val="en-US" w:eastAsia="zh-CN" w:bidi="ar-SA"/>
    </w:rPr>
  </w:style>
  <w:style w:type="character" w:styleId="1060" w:customStyle="1">
    <w:name w:val="Heading #2|1_"/>
    <w:link w:val="1061"/>
    <w:uiPriority w:val="0"/>
    <w:qFormat/>
    <w:rPr>
      <w:rFonts w:ascii="宋体" w:hAnsi="宋体" w:eastAsia="宋体" w:cs="宋体"/>
      <w:color w:val="4e4a50"/>
      <w:sz w:val="40"/>
      <w:szCs w:val="40"/>
      <w:lang w:val="zh-TW" w:eastAsia="zh-TW" w:bidi="zh-TW"/>
    </w:rPr>
  </w:style>
  <w:style w:type="paragraph" w:styleId="1061" w:customStyle="1">
    <w:name w:val="Heading #2|1"/>
    <w:basedOn w:val="724"/>
    <w:link w:val="1060"/>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62" w:customStyle="1">
    <w:name w:val="font51"/>
    <w:uiPriority w:val="0"/>
    <w:qFormat/>
    <w:rPr>
      <w:rFonts w:hint="eastAsia" w:ascii="宋体" w:hAnsi="宋体" w:eastAsia="宋体" w:cs="宋体"/>
      <w:color w:val="000000"/>
      <w:sz w:val="20"/>
      <w:szCs w:val="20"/>
      <w:u w:val="none"/>
    </w:rPr>
  </w:style>
  <w:style w:type="character" w:styleId="1063" w:customStyle="1">
    <w:name w:val="z-窗体底端 Char1"/>
    <w:link w:val="1064"/>
    <w:uiPriority w:val="0"/>
    <w:qFormat/>
    <w:rPr>
      <w:rFonts w:ascii="Arial" w:hAnsi="Arial" w:cs="Arial"/>
      <w:vanish/>
      <w:sz w:val="16"/>
      <w:szCs w:val="16"/>
    </w:rPr>
  </w:style>
  <w:style w:type="paragraph" w:styleId="1064" w:customStyle="1">
    <w:name w:val="z-窗体底端2"/>
    <w:basedOn w:val="724"/>
    <w:next w:val="724"/>
    <w:link w:val="1063"/>
    <w:uiPriority w:val="0"/>
    <w:qFormat/>
    <w:pPr>
      <w:jc w:val="center"/>
      <w:pBdr>
        <w:top w:val="single" w:color="000000" w:sz="6" w:space="1"/>
      </w:pBdr>
    </w:pPr>
    <w:rPr>
      <w:rFonts w:ascii="Arial" w:hAnsi="Arial" w:eastAsia="宋体" w:cs="Arial"/>
      <w:vanish/>
      <w:sz w:val="16"/>
      <w:szCs w:val="16"/>
    </w:rPr>
  </w:style>
  <w:style w:type="paragraph" w:styleId="1065" w:customStyle="1">
    <w:name w:val="样式 标题 2 + Times New Roman 四号 非加粗 段前: 5 磅 段后: 0 磅 行距: 固定值 20..."/>
    <w:basedOn w:val="955"/>
    <w:uiPriority w:val="0"/>
    <w:qFormat/>
    <w:pPr>
      <w:jc w:val="center"/>
      <w:spacing w:before="100" w:after="0" w:line="400" w:lineRule="exact"/>
    </w:pPr>
    <w:rPr>
      <w:rFonts w:ascii="Times New Roman" w:hAnsi="Times New Roman" w:cs="宋体"/>
      <w:b w:val="0"/>
      <w:bCs w:val="0"/>
      <w:sz w:val="28"/>
      <w:szCs w:val="20"/>
    </w:rPr>
  </w:style>
  <w:style w:type="paragraph" w:styleId="1066" w:customStyle="1">
    <w:name w:val="正文首行缩进两字符"/>
    <w:basedOn w:val="724"/>
    <w:uiPriority w:val="0"/>
    <w:qFormat/>
    <w:pPr>
      <w:ind w:firstLine="200"/>
      <w:spacing w:line="360" w:lineRule="auto"/>
    </w:pPr>
    <w:rPr>
      <w:rFonts w:eastAsia="宋体"/>
      <w:sz w:val="21"/>
      <w:szCs w:val="24"/>
    </w:rPr>
  </w:style>
  <w:style w:type="paragraph" w:styleId="1067" w:customStyle="1">
    <w:name w:val="red"/>
    <w:basedOn w:val="724"/>
    <w:uiPriority w:val="0"/>
    <w:qFormat/>
    <w:pPr>
      <w:jc w:val="left"/>
      <w:spacing w:before="100" w:beforeAutospacing="1" w:after="100" w:afterAutospacing="1"/>
      <w:widowControl/>
    </w:pPr>
    <w:rPr>
      <w:rFonts w:ascii="宋体" w:hAnsi="宋体" w:eastAsia="宋体" w:cs="宋体"/>
      <w:sz w:val="21"/>
      <w:szCs w:val="21"/>
    </w:rPr>
  </w:style>
  <w:style w:type="paragraph" w:styleId="1068" w:customStyle="1">
    <w:name w:val="z-窗体底端3"/>
    <w:basedOn w:val="724"/>
    <w:next w:val="724"/>
    <w:uiPriority w:val="0"/>
    <w:unhideWhenUsed/>
    <w:qFormat/>
    <w:pPr>
      <w:jc w:val="center"/>
      <w:pBdr>
        <w:top w:val="single" w:color="000000" w:sz="6" w:space="1"/>
      </w:pBdr>
    </w:pPr>
    <w:rPr>
      <w:rFonts w:ascii="Arial" w:hAnsi="Arial" w:eastAsia="宋体" w:cs="Arial"/>
      <w:vanish/>
      <w:sz w:val="16"/>
      <w:szCs w:val="16"/>
    </w:rPr>
  </w:style>
  <w:style w:type="paragraph" w:styleId="1069" w:customStyle="1">
    <w:name w:val="_Style 4"/>
    <w:basedOn w:val="724"/>
    <w:next w:val="724"/>
    <w:uiPriority w:val="0"/>
    <w:qFormat/>
    <w:pPr>
      <w:ind w:firstLine="420"/>
    </w:pPr>
    <w:rPr>
      <w:rFonts w:ascii="Calibri" w:hAnsi="Calibri" w:eastAsia="宋体"/>
      <w:sz w:val="21"/>
      <w:szCs w:val="22"/>
    </w:rPr>
  </w:style>
  <w:style w:type="paragraph" w:styleId="1070" w:customStyle="1">
    <w:name w:val="无间隔1"/>
    <w:uiPriority w:val="0"/>
    <w:qFormat/>
    <w:pPr>
      <w:jc w:val="both"/>
      <w:widowControl w:val="off"/>
    </w:pPr>
    <w:rPr>
      <w:rFonts w:hint="default" w:ascii="Times New Roman" w:hAnsi="Times New Roman" w:eastAsia="宋体" w:cs="Times New Roman"/>
      <w:sz w:val="21"/>
      <w:szCs w:val="24"/>
    </w:rPr>
  </w:style>
  <w:style w:type="paragraph" w:styleId="1071" w:customStyle="1">
    <w:name w:val="无间隔2"/>
    <w:uiPriority w:val="0"/>
    <w:qFormat/>
    <w:pPr>
      <w:jc w:val="both"/>
      <w:widowControl w:val="off"/>
    </w:pPr>
    <w:rPr>
      <w:rFonts w:hint="default" w:ascii="Times New Roman" w:hAnsi="Times New Roman" w:eastAsia="宋体" w:cs="Times New Roman"/>
      <w:sz w:val="21"/>
      <w:szCs w:val="24"/>
    </w:rPr>
  </w:style>
  <w:style w:type="paragraph" w:styleId="1072" w:customStyle="1">
    <w:name w:val="默认段落字体 Para Char Char Char Char Char Char Char"/>
    <w:basedOn w:val="724"/>
    <w:uiPriority w:val="0"/>
    <w:qFormat/>
    <w:rPr>
      <w:rFonts w:ascii="Tahoma" w:hAnsi="Tahoma" w:eastAsia="宋体"/>
      <w:sz w:val="24"/>
    </w:rPr>
  </w:style>
  <w:style w:type="paragraph" w:styleId="1073" w:customStyle="1">
    <w:name w:val="Char"/>
    <w:basedOn w:val="724"/>
    <w:uiPriority w:val="0"/>
    <w:qFormat/>
    <w:rPr>
      <w:rFonts w:ascii="Tahoma" w:hAnsi="Tahoma" w:eastAsia="宋体"/>
      <w:sz w:val="24"/>
    </w:rPr>
  </w:style>
  <w:style w:type="paragraph" w:styleId="1074" w:customStyle="1">
    <w:name w:val="样式1"/>
    <w:basedOn w:val="957"/>
    <w:uiPriority w:val="0"/>
    <w:qFormat/>
    <w:pPr>
      <w:jc w:val="left"/>
      <w:spacing w:before="0" w:after="0" w:line="240" w:lineRule="auto"/>
    </w:pPr>
    <w:rPr>
      <w:rFonts w:ascii="黑体" w:hAnsi="宋体" w:eastAsia="黑体" w:cs="黑体"/>
      <w:b w:val="0"/>
      <w:color w:val="000000"/>
      <w:sz w:val="21"/>
    </w:rPr>
  </w:style>
  <w:style w:type="paragraph" w:styleId="1075" w:customStyle="1">
    <w:name w:val="修订1"/>
    <w:uiPriority w:val="99"/>
    <w:unhideWhenUsed/>
    <w:qFormat/>
    <w:rPr>
      <w:rFonts w:hint="default" w:ascii="Times New Roman" w:hAnsi="Times New Roman" w:eastAsia="楷体_GB2312" w:cs="Times New Roman"/>
      <w:sz w:val="26"/>
    </w:rPr>
  </w:style>
  <w:style w:type="paragraph" w:styleId="1076" w:customStyle="1">
    <w:name w:val="列出段落"/>
    <w:basedOn w:val="724"/>
    <w:uiPriority w:val="0"/>
    <w:qFormat/>
    <w:pPr>
      <w:ind w:firstLine="420"/>
    </w:pPr>
  </w:style>
  <w:style w:type="paragraph" w:styleId="1077" w:customStyle="1">
    <w:name w:val="样式 样式 宋体 + 首行缩进:  1 字符"/>
    <w:basedOn w:val="1078"/>
    <w:uiPriority w:val="0"/>
    <w:qFormat/>
    <w:pPr>
      <w:spacing w:line="240" w:lineRule="auto"/>
    </w:pPr>
  </w:style>
  <w:style w:type="paragraph" w:styleId="1078" w:customStyle="1">
    <w:name w:val="样式 宋体"/>
    <w:basedOn w:val="724"/>
    <w:uiPriority w:val="0"/>
    <w:qFormat/>
    <w:pPr>
      <w:ind w:firstLine="100"/>
      <w:spacing w:line="360" w:lineRule="auto"/>
    </w:pPr>
    <w:rPr>
      <w:rFonts w:ascii="宋体" w:hAnsi="宋体" w:eastAsia="宋体" w:cs="宋体"/>
      <w:sz w:val="21"/>
    </w:rPr>
  </w:style>
  <w:style w:type="paragraph" w:styleId="1079" w:customStyle="1">
    <w:name w:val="列出段落1"/>
    <w:basedOn w:val="724"/>
    <w:uiPriority w:val="0"/>
    <w:qFormat/>
    <w:pPr>
      <w:ind w:firstLine="420"/>
    </w:pPr>
    <w:rPr>
      <w:rFonts w:ascii="Calibri" w:hAnsi="Calibri" w:eastAsia="宋体"/>
      <w:sz w:val="21"/>
      <w:szCs w:val="22"/>
    </w:rPr>
  </w:style>
  <w:style w:type="paragraph" w:styleId="1080" w:customStyle="1">
    <w:name w:val="正文1"/>
    <w:basedOn w:val="724"/>
    <w:next w:val="724"/>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081" w:customStyle="1">
    <w:name w:val="正文 + 黑体"/>
    <w:basedOn w:val="724"/>
    <w:uiPriority w:val="0"/>
    <w:qFormat/>
    <w:pPr>
      <w:jc w:val="left"/>
    </w:pPr>
    <w:rPr>
      <w:rFonts w:ascii="黑体" w:hAnsi="宋体" w:eastAsia="黑体" w:cs="TimesNewRomanPSMT"/>
      <w:sz w:val="24"/>
      <w:szCs w:val="24"/>
    </w:rPr>
  </w:style>
  <w:style w:type="paragraph" w:styleId="1082" w:customStyle="1">
    <w:name w:val="1"/>
    <w:basedOn w:val="724"/>
    <w:uiPriority w:val="0"/>
    <w:qFormat/>
    <w:rPr>
      <w:rFonts w:eastAsia="宋体"/>
      <w:sz w:val="21"/>
      <w:szCs w:val="24"/>
    </w:rPr>
  </w:style>
  <w:style w:type="paragraph" w:styleId="1083" w:customStyle="1">
    <w:name w:val="[基本段落]"/>
    <w:basedOn w:val="724"/>
    <w:uiPriority w:val="99"/>
    <w:qFormat/>
    <w:pPr>
      <w:jc w:val="left"/>
      <w:spacing w:line="288" w:lineRule="auto"/>
    </w:pPr>
    <w:rPr>
      <w:rFonts w:ascii="Myriad Roman" w:hAnsi="Myriad Roman" w:cs="Myriad Roman"/>
      <w:color w:val="000000"/>
      <w:sz w:val="24"/>
    </w:rPr>
  </w:style>
  <w:style w:type="paragraph" w:styleId="1084" w:customStyle="1">
    <w:name w:val="纯文本4"/>
    <w:basedOn w:val="724"/>
    <w:uiPriority w:val="0"/>
    <w:qFormat/>
    <w:rPr>
      <w:rFonts w:ascii="宋体" w:hAnsi="Courier New" w:eastAsia="宋体"/>
      <w:sz w:val="28"/>
      <w:szCs w:val="24"/>
    </w:rPr>
  </w:style>
  <w:style w:type="paragraph" w:styleId="1085" w:customStyle="1">
    <w:name w:val="Address"/>
    <w:basedOn w:val="724"/>
    <w:uiPriority w:val="0"/>
    <w:qFormat/>
    <w:pPr>
      <w:jc w:val="left"/>
      <w:spacing w:line="249" w:lineRule="auto"/>
      <w:widowControl/>
    </w:pPr>
    <w:rPr>
      <w:rFonts w:ascii="Centaur" w:hAnsi="Centaur"/>
      <w:sz w:val="20"/>
      <w:lang w:eastAsia="en-US"/>
    </w:rPr>
  </w:style>
  <w:style w:type="paragraph" w:styleId="1086" w:customStyle="1">
    <w:name w:val="金安桥正文"/>
    <w:basedOn w:val="977"/>
    <w:uiPriority w:val="0"/>
    <w:qFormat/>
    <w:pPr>
      <w:ind w:firstLine="200"/>
      <w:jc w:val="left"/>
      <w:spacing w:line="300" w:lineRule="auto"/>
    </w:pPr>
    <w:rPr>
      <w:rFonts w:ascii="Times New Roman"/>
      <w:sz w:val="24"/>
    </w:rPr>
  </w:style>
  <w:style w:type="paragraph" w:styleId="1087" w:customStyle="1">
    <w:name w:val="普通正文"/>
    <w:basedOn w:val="724"/>
    <w:uiPriority w:val="0"/>
    <w:qFormat/>
    <w:pPr>
      <w:ind w:firstLine="480"/>
      <w:jc w:val="left"/>
      <w:spacing w:before="120" w:after="120" w:line="360" w:lineRule="auto"/>
    </w:pPr>
    <w:rPr>
      <w:rFonts w:ascii="Arial" w:hAnsi="Arial"/>
      <w:sz w:val="24"/>
    </w:rPr>
  </w:style>
  <w:style w:type="paragraph" w:styleId="1088" w:customStyle="1">
    <w:name w:val="纯文本11"/>
    <w:basedOn w:val="724"/>
    <w:uiPriority w:val="99"/>
    <w:qFormat/>
    <w:rPr>
      <w:rFonts w:ascii="宋体" w:hAnsi="Courier New"/>
    </w:rPr>
  </w:style>
  <w:style w:type="paragraph" w:styleId="1089" w:customStyle="1">
    <w:name w:val="WPS Plain"/>
    <w:uiPriority w:val="0"/>
    <w:qFormat/>
    <w:rPr>
      <w:rFonts w:hint="default" w:ascii="Times New Roman" w:hAnsi="Times New Roman" w:eastAsia="宋体" w:cs="Times New Roman"/>
    </w:rPr>
  </w:style>
  <w:style w:type="paragraph" w:styleId="1090" w:customStyle="1">
    <w:name w:val="p0"/>
    <w:basedOn w:val="724"/>
    <w:uiPriority w:val="0"/>
    <w:qFormat/>
    <w:pPr>
      <w:widowControl/>
    </w:pPr>
    <w:rPr>
      <w:rFonts w:ascii="黑体" w:hAnsi="黑体"/>
      <w:szCs w:val="21"/>
    </w:rPr>
  </w:style>
  <w:style w:type="paragraph" w:styleId="1091" w:customStyle="1">
    <w:name w:val="首行缩进"/>
    <w:basedOn w:val="724"/>
    <w:uiPriority w:val="0"/>
    <w:qFormat/>
    <w:pPr>
      <w:ind w:firstLine="480"/>
      <w:spacing w:line="360" w:lineRule="auto"/>
    </w:pPr>
    <w:rPr>
      <w:rFonts w:hAnsi="宋体" w:eastAsia="宋体" w:cs="宋体"/>
      <w:sz w:val="24"/>
      <w:szCs w:val="24"/>
    </w:rPr>
  </w:style>
  <w:style w:type="paragraph" w:styleId="1092" w:customStyle="1">
    <w:name w:val="Char1"/>
    <w:basedOn w:val="724"/>
    <w:uiPriority w:val="0"/>
    <w:qFormat/>
    <w:pPr>
      <w:tabs>
        <w:tab w:val="left" w:pos="360" w:leader="none"/>
      </w:tabs>
    </w:pPr>
    <w:rPr>
      <w:rFonts w:eastAsia="宋体"/>
      <w:sz w:val="24"/>
      <w:szCs w:val="24"/>
    </w:rPr>
  </w:style>
  <w:style w:type="paragraph" w:styleId="1093" w:customStyle="1">
    <w:name w:val="z-窗体顶端2"/>
    <w:basedOn w:val="724"/>
    <w:next w:val="724"/>
    <w:uiPriority w:val="0"/>
    <w:unhideWhenUsed/>
    <w:qFormat/>
    <w:pPr>
      <w:jc w:val="center"/>
      <w:pBdr>
        <w:bottom w:val="single" w:color="000000" w:sz="6" w:space="1"/>
      </w:pBdr>
    </w:pPr>
    <w:rPr>
      <w:rFonts w:ascii="Arial" w:hAnsi="Arial" w:eastAsia="宋体" w:cs="Arial"/>
      <w:vanish/>
      <w:sz w:val="16"/>
      <w:szCs w:val="16"/>
    </w:rPr>
  </w:style>
  <w:style w:type="paragraph" w:styleId="1094" w:customStyle="1">
    <w:name w:val="样式 标题 3 + (中文) 黑体 小四 非加粗 段前: 7.8 磅 段后: 0 磅 行距: 固定值 20 磅"/>
    <w:basedOn w:val="956"/>
    <w:next w:val="724"/>
    <w:uiPriority w:val="0"/>
    <w:qFormat/>
    <w:pPr>
      <w:spacing w:before="0" w:after="0" w:line="400" w:lineRule="exact"/>
    </w:pPr>
    <w:rPr>
      <w:rFonts w:eastAsia="宋体"/>
      <w:sz w:val="24"/>
      <w:szCs w:val="20"/>
    </w:rPr>
  </w:style>
  <w:style w:type="paragraph" w:styleId="1095"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rPr>
  </w:style>
  <w:style w:type="paragraph" w:styleId="1096">
    <w:name w:val="No Spacing"/>
    <w:uiPriority w:val="0"/>
    <w:qFormat/>
    <w:pPr>
      <w:jc w:val="both"/>
      <w:widowControl w:val="off"/>
    </w:pPr>
    <w:rPr>
      <w:rFonts w:hint="default" w:ascii="Times New Roman" w:hAnsi="Times New Roman" w:eastAsia="宋体" w:cs="Times New Roman"/>
      <w:sz w:val="21"/>
      <w:szCs w:val="24"/>
    </w:rPr>
  </w:style>
  <w:style w:type="paragraph" w:styleId="1097" w:customStyle="1">
    <w:name w:val="Char Char Char Char Char Char Char Char Char Char"/>
    <w:basedOn w:val="724"/>
    <w:uiPriority w:val="0"/>
    <w:qFormat/>
    <w:pPr>
      <w:ind w:hanging="425"/>
      <w:keepNext/>
      <w:spacing w:before="80" w:after="80"/>
      <w:widowControl/>
      <w:tabs>
        <w:tab w:val="left" w:pos="425" w:leader="none"/>
      </w:tabs>
    </w:pPr>
    <w:rPr>
      <w:rFonts w:eastAsia="宋体"/>
      <w:sz w:val="20"/>
    </w:rPr>
  </w:style>
  <w:style w:type="paragraph" w:styleId="1098" w:customStyle="1">
    <w:name w:val="Style1"/>
    <w:basedOn w:val="724"/>
    <w:uiPriority w:val="0"/>
    <w:qFormat/>
    <w:pPr>
      <w:spacing w:after="120"/>
      <w:widowControl/>
      <w:tabs>
        <w:tab w:val="left" w:pos="-720" w:leader="none"/>
      </w:tabs>
    </w:pPr>
    <w:rPr>
      <w:spacing w:val="-3"/>
      <w:sz w:val="24"/>
      <w:lang w:val="en-AU" w:eastAsia="en-US"/>
    </w:rPr>
  </w:style>
  <w:style w:type="paragraph" w:styleId="1099" w:customStyle="1">
    <w:name w:val="样式2"/>
    <w:basedOn w:val="724"/>
    <w:next w:val="958"/>
    <w:uiPriority w:val="0"/>
    <w:qFormat/>
    <w:pPr>
      <w:jc w:val="center"/>
    </w:pPr>
    <w:rPr>
      <w:rFonts w:ascii="宋体" w:hAnsi="宋体" w:eastAsia="宋体" w:cs="Arial"/>
      <w:b/>
      <w:color w:val="000000"/>
      <w:sz w:val="21"/>
      <w:szCs w:val="21"/>
    </w:rPr>
  </w:style>
  <w:style w:type="paragraph" w:styleId="1100" w:customStyle="1">
    <w:name w:val="纯文本3"/>
    <w:basedOn w:val="724"/>
    <w:uiPriority w:val="0"/>
    <w:qFormat/>
    <w:rPr>
      <w:rFonts w:hint="eastAsia" w:ascii="宋体" w:hAnsi="Courier New"/>
      <w:sz w:val="28"/>
    </w:rPr>
  </w:style>
  <w:style w:type="paragraph" w:styleId="1101" w:customStyle="1">
    <w:name w:val="Table Paragraph"/>
    <w:basedOn w:val="724"/>
    <w:uiPriority w:val="1"/>
    <w:qFormat/>
  </w:style>
  <w:style w:type="table" w:styleId="1102" w:customStyle="1">
    <w:name w:val="Table Normal"/>
    <w:uiPriority w:val="2"/>
    <w:unhideWhenUsed/>
    <w:qFormat/>
    <w:tblPr>
      <w:tblCellMar>
        <w:left w:w="0" w:type="dxa"/>
        <w:top w:w="0" w:type="dxa"/>
        <w:right w:w="0" w:type="dxa"/>
        <w:bottom w:w="0" w:type="dxa"/>
      </w:tblCellMar>
    </w:tblPr>
  </w:style>
  <w:style w:type="paragraph" w:styleId="1103" w:customStyle="1">
    <w:name w:val="段"/>
    <w:next w:val="724"/>
    <w:uiPriority w:val="0"/>
    <w:qFormat/>
    <w:pPr>
      <w:ind w:firstLine="200"/>
      <w:jc w:val="both"/>
    </w:pPr>
    <w:rPr>
      <w:rFonts w:hint="default" w:ascii="宋体" w:hAnsi="Times New Roman" w:eastAsia="宋体" w:cs="Times New Roman"/>
      <w:sz w:val="21"/>
      <w:szCs w:val="22"/>
    </w:rPr>
  </w:style>
  <w:style w:type="paragraph" w:styleId="1104" w:customStyle="1">
    <w:name w:val="纯文本111"/>
    <w:basedOn w:val="724"/>
    <w:uiPriority w:val="0"/>
    <w:qFormat/>
    <w:rPr>
      <w:rFonts w:ascii="宋体" w:hAnsi="Courier New"/>
    </w:rPr>
  </w:style>
  <w:style w:type="character" w:styleId="1105" w:customStyle="1">
    <w:name w:val="纯文本 字符"/>
    <w:basedOn w:val="734"/>
    <w:link w:val="747"/>
    <w:uiPriority w:val="0"/>
    <w:qFormat/>
    <w:rPr>
      <w:rFonts w:hint="eastAsia" w:ascii="宋体" w:hAnsi="Courier New" w:eastAsia="宋体" w:cs="Courier New"/>
      <w:sz w:val="26"/>
    </w:rPr>
  </w:style>
  <w:style w:type="character" w:styleId="1106" w:customStyle="1">
    <w:name w:val="未处理的提及1"/>
    <w:basedOn w:val="734"/>
    <w:uiPriority w:val="99"/>
    <w:semiHidden/>
    <w:unhideWhenUsed/>
    <w:qFormat/>
    <w:rPr>
      <w:color w:val="605e5c"/>
      <w:shd w:val="clear" w:color="auto" w:fill="e1dfdd"/>
    </w:rPr>
  </w:style>
  <w:style w:type="character" w:styleId="1107" w:customStyle="1">
    <w:name w:val="未处理的提及2"/>
    <w:basedOn w:val="734"/>
    <w:uiPriority w:val="99"/>
    <w:semiHidden/>
    <w:unhideWhenUsed/>
    <w:qFormat/>
    <w:rPr>
      <w:color w:val="605e5c"/>
      <w:shd w:val="clear" w:color="auto" w:fill="e1dfdd"/>
    </w:rPr>
  </w:style>
  <w:style w:type="character" w:styleId="1108" w:customStyle="1">
    <w:name w:val="font41"/>
    <w:basedOn w:val="734"/>
    <w:uiPriority w:val="0"/>
    <w:qFormat/>
    <w:rPr>
      <w:rFonts w:ascii="黑体" w:hAnsi="宋体" w:eastAsia="黑体" w:cs="黑体"/>
      <w:color w:val="000000"/>
      <w:sz w:val="18"/>
      <w:szCs w:val="18"/>
      <w:u w:val="none"/>
    </w:rPr>
  </w:style>
  <w:style w:type="character" w:styleId="1109" w:customStyle="1">
    <w:name w:val="font31"/>
    <w:basedOn w:val="734"/>
    <w:uiPriority w:val="0"/>
    <w:qFormat/>
    <w:rPr>
      <w:rFonts w:ascii="方正仿宋_GBK" w:hAnsi="方正仿宋_GBK" w:eastAsia="方正仿宋_GBK" w:cs="方正仿宋_GBK"/>
      <w:color w:val="000000"/>
      <w:sz w:val="18"/>
      <w:szCs w:val="18"/>
      <w:u w:val="none"/>
    </w:rPr>
  </w:style>
  <w:style w:type="paragraph" w:styleId="1110" w:customStyle="1">
    <w:name w:val="Table Text"/>
    <w:basedOn w:val="724"/>
    <w:uiPriority w:val="0"/>
    <w:semiHidden/>
    <w:qFormat/>
    <w:rPr>
      <w:rFonts w:ascii="宋体" w:hAnsi="宋体" w:eastAsia="宋体" w:cs="宋体"/>
      <w:sz w:val="20"/>
      <w:lang w:eastAsia="en-US"/>
    </w:rPr>
  </w:style>
  <w:style w:type="character" w:styleId="1111" w:customStyle="1">
    <w:name w:val="正文缩进 字符"/>
    <w:link w:val="737"/>
    <w:uiPriority w:val="0"/>
    <w:qFormat/>
    <w:rPr>
      <w:rFonts w:eastAsia="楷体_GB2312"/>
      <w:sz w:val="24"/>
    </w:rPr>
  </w:style>
  <w:style w:type="paragraph" w:styleId="1112" w:customStyle="1">
    <w:name w:val="正文(其它)"/>
    <w:basedOn w:val="724"/>
    <w:uiPriority w:val="0"/>
    <w:qFormat/>
    <w:pPr>
      <w:jc w:val="center"/>
      <w:spacing w:line="312" w:lineRule="auto"/>
    </w:pPr>
    <w:rPr>
      <w:rFonts w:ascii="黑体" w:eastAsia="黑体"/>
      <w:sz w:val="32"/>
      <w:szCs w:val="32"/>
    </w:rPr>
  </w:style>
  <w:style w:type="character" w:styleId="1113" w:customStyle="1">
    <w:name w:val="jj101"/>
    <w:uiPriority w:val="0"/>
    <w:qFormat/>
    <w:rPr>
      <w:sz w:val="20"/>
      <w:szCs w:val="20"/>
      <w:u w:val="none"/>
    </w:rPr>
  </w:style>
  <w:style w:type="character" w:styleId="1114" w:customStyle="1">
    <w:name w:val="apple-style-span"/>
    <w:basedOn w:val="734"/>
    <w:uiPriority w:val="0"/>
    <w:qFormat/>
  </w:style>
  <w:style w:type="paragraph" w:styleId="1115" w:customStyle="1">
    <w:name w:val="xl31"/>
    <w:basedOn w:val="724"/>
    <w:next w:val="742"/>
    <w:uiPriority w:val="0"/>
    <w:qFormat/>
    <w:pPr>
      <w:ind w:firstLine="3584"/>
      <w:spacing w:before="280" w:after="280"/>
      <w:widowControl/>
    </w:p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8935D2D-D4E9-41C4-B2A1-0BB002980A8A}"/>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采  购</dc:title>
  <dc:creator>wei</dc:creator>
  <cp:lastModifiedBy>周纯</cp:lastModifiedBy>
  <cp:revision>629</cp:revision>
  <dcterms:created xsi:type="dcterms:W3CDTF">2022-04-11T07:36:00Z</dcterms:created>
  <dcterms:modified xsi:type="dcterms:W3CDTF">2025-12-08T06:57:49Z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C8DFCD16847A463DA5D39ECCE24BEB42_13</vt:lpwstr>
  </property>
  <property fmtid="{D5CDD505-2E9C-101B-9397-08002B2CF9AE}" pid="4" name="KSOTemplateDocerSaveRecord">
    <vt:lpwstr>eyJoZGlkIjoiNWNkMGZmZGUxNzNkMTZmNDUwMjEzYmY4NTVhNzIxZDgiLCJ1c2VySWQiOiIzMTU1ODEyOTcifQ==</vt:lpwstr>
  </property>
</Properties>
</file>